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color w:val="000000" w:themeColor="text1"/>
          <w:lang w:eastAsia="zh-CN"/>
        </w:rPr>
      </w:pPr>
      <w:bookmarkStart w:id="0" w:name="_Toc521500770"/>
      <w:r>
        <w:rPr>
          <w:rFonts w:hint="eastAsia"/>
          <w:color w:val="000000" w:themeColor="text1"/>
          <w:lang w:eastAsia="zh-CN"/>
        </w:rPr>
        <w:t>中大惠亚医院</w:t>
      </w:r>
      <w:bookmarkStart w:id="1" w:name="OLE_LINK2"/>
      <w:bookmarkStart w:id="2" w:name="OLE_LINK1"/>
      <w:r>
        <w:rPr>
          <w:rFonts w:hint="eastAsia"/>
          <w:color w:val="000000" w:themeColor="text1"/>
          <w:lang w:eastAsia="zh-CN"/>
        </w:rPr>
        <w:t>信息化项目</w:t>
      </w:r>
      <w:bookmarkEnd w:id="1"/>
      <w:bookmarkEnd w:id="2"/>
      <w:r>
        <w:rPr>
          <w:rFonts w:hint="eastAsia"/>
          <w:color w:val="000000" w:themeColor="text1"/>
          <w:lang w:eastAsia="zh-CN"/>
        </w:rPr>
        <w:t>技术要求</w:t>
      </w:r>
    </w:p>
    <w:p>
      <w:pPr>
        <w:jc w:val="center"/>
        <w:rPr>
          <w:color w:val="000000" w:themeColor="text1"/>
          <w:sz w:val="28"/>
          <w:szCs w:val="28"/>
        </w:rPr>
      </w:pPr>
      <w:r>
        <w:rPr>
          <w:rFonts w:hint="eastAsia" w:ascii="宋体" w:hAnsi="宋体" w:cs="宋体"/>
          <w:b/>
          <w:color w:val="000000" w:themeColor="text1"/>
          <w:sz w:val="28"/>
          <w:szCs w:val="28"/>
        </w:rPr>
        <w:t>用户需求</w:t>
      </w:r>
    </w:p>
    <w:p>
      <w:pPr>
        <w:rPr>
          <w:rFonts w:ascii="宋体" w:hAnsi="宋体" w:eastAsia="宋体"/>
          <w:color w:val="000000" w:themeColor="text1"/>
        </w:rPr>
      </w:pPr>
      <w:r>
        <w:rPr>
          <w:rFonts w:hint="eastAsia" w:ascii="宋体" w:hAnsi="宋体" w:eastAsia="宋体" w:cs="宋体"/>
          <w:b/>
          <w:color w:val="000000" w:themeColor="text1"/>
        </w:rPr>
        <w:t>一、采购内容</w:t>
      </w:r>
    </w:p>
    <w:p>
      <w:pPr>
        <w:rPr>
          <w:rFonts w:ascii="宋体" w:hAnsi="宋体" w:eastAsia="宋体"/>
          <w:color w:val="000000" w:themeColor="text1"/>
        </w:rPr>
      </w:pPr>
    </w:p>
    <w:tbl>
      <w:tblPr>
        <w:tblStyle w:val="32"/>
        <w:tblW w:w="8426" w:type="dxa"/>
        <w:jc w:val="center"/>
        <w:tblLayout w:type="fixed"/>
        <w:tblCellMar>
          <w:top w:w="0" w:type="dxa"/>
          <w:left w:w="108" w:type="dxa"/>
          <w:bottom w:w="0" w:type="dxa"/>
          <w:right w:w="108" w:type="dxa"/>
        </w:tblCellMar>
      </w:tblPr>
      <w:tblGrid>
        <w:gridCol w:w="1144"/>
        <w:gridCol w:w="5954"/>
        <w:gridCol w:w="1328"/>
      </w:tblGrid>
      <w:tr>
        <w:tblPrEx>
          <w:tblCellMar>
            <w:top w:w="0" w:type="dxa"/>
            <w:left w:w="108" w:type="dxa"/>
            <w:bottom w:w="0" w:type="dxa"/>
            <w:right w:w="108" w:type="dxa"/>
          </w:tblCellMar>
        </w:tblPrEx>
        <w:trPr>
          <w:trHeight w:val="507" w:hRule="atLeast"/>
          <w:tblHeader/>
          <w:jc w:val="center"/>
        </w:trPr>
        <w:tc>
          <w:tcPr>
            <w:tcW w:w="1144"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序号</w:t>
            </w:r>
          </w:p>
        </w:tc>
        <w:tc>
          <w:tcPr>
            <w:tcW w:w="5954" w:type="dxa"/>
            <w:tcBorders>
              <w:top w:val="single" w:color="000000" w:sz="4" w:space="0"/>
              <w:left w:val="single" w:color="000000" w:sz="4" w:space="0"/>
              <w:bottom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采购项目名称</w:t>
            </w:r>
          </w:p>
        </w:tc>
        <w:tc>
          <w:tcPr>
            <w:tcW w:w="132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b/>
                <w:color w:val="000000" w:themeColor="text1"/>
              </w:rPr>
              <w:t>数量</w:t>
            </w:r>
          </w:p>
        </w:tc>
      </w:tr>
      <w:tr>
        <w:tblPrEx>
          <w:tblCellMar>
            <w:top w:w="0" w:type="dxa"/>
            <w:left w:w="108" w:type="dxa"/>
            <w:bottom w:w="0" w:type="dxa"/>
            <w:right w:w="108" w:type="dxa"/>
          </w:tblCellMar>
        </w:tblPrEx>
        <w:trPr>
          <w:trHeight w:val="507" w:hRule="atLeast"/>
          <w:jc w:val="center"/>
        </w:trPr>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w:t>
            </w:r>
          </w:p>
        </w:tc>
        <w:tc>
          <w:tcPr>
            <w:tcW w:w="5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lang w:eastAsia="zh-CN"/>
              </w:rPr>
            </w:pPr>
            <w:r>
              <w:rPr>
                <w:rFonts w:hint="eastAsia" w:cs="宋体" w:asciiTheme="minorEastAsia" w:hAnsiTheme="minorEastAsia"/>
                <w:lang w:eastAsia="zh-CN"/>
              </w:rPr>
              <w:t>国家传染病智能监测预警平台接口改造项目</w:t>
            </w:r>
          </w:p>
        </w:tc>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rPr>
            </w:pPr>
            <w:r>
              <w:rPr>
                <w:rFonts w:hint="eastAsia" w:ascii="宋体" w:hAnsi="宋体" w:eastAsia="宋体"/>
                <w:color w:val="000000" w:themeColor="text1"/>
              </w:rPr>
              <w:t>1项</w:t>
            </w:r>
          </w:p>
        </w:tc>
      </w:tr>
    </w:tbl>
    <w:p>
      <w:pPr>
        <w:rPr>
          <w:rFonts w:ascii="宋体" w:hAnsi="宋体" w:eastAsia="宋体" w:cs="宋体"/>
          <w:color w:val="000000" w:themeColor="text1"/>
          <w:lang w:eastAsia="zh-CN"/>
        </w:rPr>
      </w:pPr>
    </w:p>
    <w:p>
      <w:pPr>
        <w:pStyle w:val="70"/>
        <w:numPr>
          <w:ilvl w:val="0"/>
          <w:numId w:val="1"/>
        </w:num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项目背景</w:t>
      </w:r>
    </w:p>
    <w:p>
      <w:pPr>
        <w:widowControl w:val="0"/>
        <w:spacing w:line="360" w:lineRule="auto"/>
        <w:jc w:val="both"/>
        <w:rPr>
          <w:rFonts w:ascii="宋体" w:hAnsi="宋体" w:eastAsia="宋体"/>
          <w:sz w:val="21"/>
          <w:szCs w:val="21"/>
          <w:lang w:eastAsia="zh-CN"/>
        </w:rPr>
      </w:pPr>
      <w:r>
        <w:rPr>
          <w:rFonts w:hint="eastAsia" w:ascii="宋体" w:hAnsi="宋体" w:eastAsia="宋体"/>
          <w:color w:val="FF0000"/>
          <w:szCs w:val="21"/>
          <w:lang w:eastAsia="zh-CN"/>
        </w:rPr>
        <w:t xml:space="preserve">    </w:t>
      </w:r>
      <w:r>
        <w:rPr>
          <w:rFonts w:hint="eastAsia" w:ascii="宋体" w:hAnsi="宋体" w:eastAsia="宋体"/>
          <w:sz w:val="21"/>
          <w:szCs w:val="21"/>
          <w:lang w:eastAsia="zh-CN"/>
        </w:rPr>
        <w:t>根据国家疾控局综合司《关于加快实施中央对地方转移支付传染病监测预警与应急能指挥能力提升项目的函》、《关于做好国家传染病智能监测预警前置软件服务器软硬件环境配置的通知》（国疾控综规财函〔</w:t>
      </w:r>
      <w:r>
        <w:rPr>
          <w:rFonts w:ascii="宋体" w:hAnsi="宋体" w:eastAsia="宋体"/>
          <w:sz w:val="21"/>
          <w:szCs w:val="21"/>
          <w:lang w:eastAsia="zh-CN"/>
        </w:rPr>
        <w:t>2024</w:t>
      </w:r>
      <w:r>
        <w:rPr>
          <w:rFonts w:hint="eastAsia" w:ascii="宋体" w:hAnsi="宋体" w:eastAsia="宋体"/>
          <w:sz w:val="21"/>
          <w:szCs w:val="21"/>
          <w:lang w:eastAsia="zh-CN"/>
        </w:rPr>
        <w:t>〕</w:t>
      </w:r>
      <w:r>
        <w:rPr>
          <w:rFonts w:ascii="宋体" w:hAnsi="宋体" w:eastAsia="宋体"/>
          <w:sz w:val="21"/>
          <w:szCs w:val="21"/>
          <w:lang w:eastAsia="zh-CN"/>
        </w:rPr>
        <w:t xml:space="preserve">71 </w:t>
      </w:r>
      <w:r>
        <w:rPr>
          <w:rFonts w:hint="eastAsia" w:ascii="宋体" w:hAnsi="宋体" w:eastAsia="宋体"/>
          <w:sz w:val="21"/>
          <w:szCs w:val="21"/>
          <w:lang w:eastAsia="zh-CN"/>
        </w:rPr>
        <w:t>号）和《广东省疾病预防控制局广东省卫生健康委关于印发〈加快推进国家传染病智能监测预警前置软件部署工作方案〉的通知》（粤疾控局综〔</w:t>
      </w:r>
      <w:r>
        <w:rPr>
          <w:rFonts w:ascii="宋体" w:hAnsi="宋体" w:eastAsia="宋体"/>
          <w:sz w:val="21"/>
          <w:szCs w:val="21"/>
          <w:lang w:eastAsia="zh-CN"/>
        </w:rPr>
        <w:t>2024</w:t>
      </w:r>
      <w:r>
        <w:rPr>
          <w:rFonts w:hint="eastAsia" w:ascii="宋体" w:hAnsi="宋体" w:eastAsia="宋体"/>
          <w:sz w:val="21"/>
          <w:szCs w:val="21"/>
          <w:lang w:eastAsia="zh-CN"/>
        </w:rPr>
        <w:t>〕</w:t>
      </w:r>
      <w:r>
        <w:rPr>
          <w:rFonts w:ascii="宋体" w:hAnsi="宋体" w:eastAsia="宋体"/>
          <w:sz w:val="21"/>
          <w:szCs w:val="21"/>
          <w:lang w:eastAsia="zh-CN"/>
        </w:rPr>
        <w:t xml:space="preserve">16 </w:t>
      </w:r>
      <w:r>
        <w:rPr>
          <w:rFonts w:hint="eastAsia" w:ascii="宋体" w:hAnsi="宋体" w:eastAsia="宋体"/>
          <w:sz w:val="21"/>
          <w:szCs w:val="21"/>
          <w:lang w:eastAsia="zh-CN"/>
        </w:rPr>
        <w:t>号），医院需要开展国家传染病智能监测预警平台接口改造工作，实现医疗机构传染病相关数据自动化采集和交换。</w:t>
      </w:r>
    </w:p>
    <w:bookmarkEnd w:id="0"/>
    <w:p>
      <w:pPr>
        <w:pStyle w:val="70"/>
        <w:numPr>
          <w:ilvl w:val="0"/>
          <w:numId w:val="1"/>
        </w:num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技术要求</w:t>
      </w:r>
    </w:p>
    <w:p>
      <w:pPr>
        <w:spacing w:line="360" w:lineRule="auto"/>
        <w:rPr>
          <w:rFonts w:ascii="宋体" w:hAnsi="宋体" w:eastAsia="宋体" w:cs="宋体"/>
          <w:b/>
          <w:lang w:eastAsia="zh-CN"/>
        </w:rPr>
      </w:pPr>
      <w:r>
        <w:rPr>
          <w:rFonts w:hint="eastAsia" w:ascii="宋体" w:hAnsi="宋体" w:eastAsia="宋体" w:cs="宋体"/>
          <w:b/>
          <w:lang w:eastAsia="zh-CN"/>
        </w:rPr>
        <w:t>1、总体要求</w:t>
      </w:r>
    </w:p>
    <w:p>
      <w:pPr>
        <w:widowControl w:val="0"/>
        <w:spacing w:line="360" w:lineRule="auto"/>
        <w:ind w:firstLine="480"/>
        <w:jc w:val="both"/>
        <w:rPr>
          <w:rFonts w:ascii="宋体" w:hAnsi="宋体" w:eastAsia="宋体"/>
          <w:sz w:val="21"/>
          <w:szCs w:val="21"/>
          <w:lang w:eastAsia="zh-CN"/>
        </w:rPr>
      </w:pPr>
      <w:r>
        <w:rPr>
          <w:rFonts w:hint="eastAsia" w:ascii="宋体" w:hAnsi="宋体" w:eastAsia="宋体"/>
          <w:sz w:val="21"/>
          <w:szCs w:val="21"/>
          <w:lang w:eastAsia="zh-CN"/>
        </w:rPr>
        <w:t>本项目应保证现有系统平稳运行的基础上，按照</w:t>
      </w:r>
      <w:r>
        <w:rPr>
          <w:rFonts w:ascii="宋体" w:hAnsi="宋体" w:eastAsia="宋体"/>
          <w:sz w:val="21"/>
          <w:szCs w:val="21"/>
          <w:lang w:eastAsia="zh-CN"/>
        </w:rPr>
        <w:t>中国疾病预防控制中心</w:t>
      </w:r>
      <w:r>
        <w:rPr>
          <w:rFonts w:hint="eastAsia" w:ascii="宋体" w:hAnsi="宋体" w:eastAsia="宋体"/>
          <w:sz w:val="21"/>
          <w:szCs w:val="21"/>
          <w:lang w:eastAsia="zh-CN"/>
        </w:rPr>
        <w:t>提供的《</w:t>
      </w:r>
      <w:r>
        <w:rPr>
          <w:rFonts w:ascii="宋体" w:hAnsi="宋体" w:eastAsia="宋体"/>
          <w:sz w:val="21"/>
          <w:szCs w:val="21"/>
          <w:lang w:eastAsia="zh-CN"/>
        </w:rPr>
        <w:t>国家传染病智能监测预警前置软件数据集成和API接口规范</w:t>
      </w:r>
      <w:r>
        <w:rPr>
          <w:rFonts w:hint="eastAsia" w:ascii="宋体" w:hAnsi="宋体" w:eastAsia="宋体"/>
          <w:sz w:val="21"/>
          <w:szCs w:val="21"/>
          <w:lang w:eastAsia="zh-CN"/>
        </w:rPr>
        <w:t>》接口文档要求, 通过前置机</w:t>
      </w:r>
      <w:r>
        <w:rPr>
          <w:rFonts w:ascii="宋体" w:hAnsi="宋体" w:eastAsia="宋体"/>
          <w:sz w:val="21"/>
          <w:szCs w:val="21"/>
          <w:lang w:eastAsia="zh-CN"/>
        </w:rPr>
        <w:t>中间库实现数据的采集与提取、数据转换与标准化以及数据加密压缩等</w:t>
      </w:r>
      <w:r>
        <w:rPr>
          <w:rFonts w:hint="eastAsia" w:ascii="宋体" w:hAnsi="宋体" w:eastAsia="宋体"/>
          <w:sz w:val="21"/>
          <w:szCs w:val="21"/>
          <w:lang w:eastAsia="zh-CN"/>
        </w:rPr>
        <w:t>，采取主动推送的方式每日定时将数据推送</w:t>
      </w:r>
      <w:r>
        <w:rPr>
          <w:rFonts w:ascii="宋体" w:hAnsi="宋体" w:eastAsia="宋体"/>
          <w:sz w:val="21"/>
          <w:szCs w:val="21"/>
          <w:lang w:eastAsia="zh-CN"/>
        </w:rPr>
        <w:t>至国家传染病智能监测</w:t>
      </w:r>
      <w:r>
        <w:rPr>
          <w:rFonts w:hint="eastAsia" w:ascii="宋体" w:hAnsi="宋体" w:eastAsia="宋体"/>
          <w:sz w:val="21"/>
          <w:szCs w:val="21"/>
          <w:lang w:eastAsia="zh-CN"/>
        </w:rPr>
        <w:t>平台，</w:t>
      </w:r>
      <w:r>
        <w:rPr>
          <w:rFonts w:ascii="宋体" w:hAnsi="宋体" w:eastAsia="宋体"/>
          <w:sz w:val="21"/>
          <w:szCs w:val="21"/>
          <w:lang w:eastAsia="zh-CN"/>
        </w:rPr>
        <w:t>实现医院信息系统中电子病历（EMR）数据与国家前置软件的数据同步与交互应用。</w:t>
      </w:r>
      <w:r>
        <w:rPr>
          <w:rFonts w:hint="eastAsia" w:ascii="宋体" w:hAnsi="宋体" w:eastAsia="宋体"/>
          <w:sz w:val="21"/>
          <w:szCs w:val="21"/>
          <w:lang w:eastAsia="zh-CN"/>
        </w:rPr>
        <w:t>接口要求安全可靠、运行稳定、响应及时、数据转换准确、操作简便易用、界面友好。</w:t>
      </w:r>
    </w:p>
    <w:p>
      <w:pPr>
        <w:spacing w:line="360" w:lineRule="auto"/>
        <w:rPr>
          <w:rFonts w:ascii="宋体" w:hAnsi="宋体" w:eastAsia="宋体" w:cs="宋体"/>
          <w:b/>
          <w:lang w:eastAsia="zh-CN"/>
        </w:rPr>
      </w:pPr>
      <w:r>
        <w:rPr>
          <w:rFonts w:hint="eastAsia" w:ascii="宋体" w:hAnsi="宋体" w:eastAsia="宋体" w:cs="宋体"/>
          <w:b/>
          <w:lang w:eastAsia="zh-CN"/>
        </w:rPr>
        <w:t>2、建设内容</w:t>
      </w:r>
    </w:p>
    <w:p>
      <w:pPr>
        <w:widowControl w:val="0"/>
        <w:spacing w:line="360" w:lineRule="auto"/>
        <w:ind w:firstLine="480"/>
        <w:jc w:val="both"/>
        <w:rPr>
          <w:rFonts w:ascii="宋体" w:hAnsi="宋体" w:eastAsia="宋体"/>
          <w:sz w:val="21"/>
          <w:szCs w:val="21"/>
          <w:lang w:eastAsia="zh-CN"/>
        </w:rPr>
      </w:pPr>
      <w:r>
        <w:rPr>
          <w:rFonts w:hint="eastAsia" w:ascii="宋体" w:hAnsi="宋体" w:eastAsia="宋体"/>
          <w:sz w:val="21"/>
          <w:szCs w:val="21"/>
          <w:lang w:eastAsia="zh-CN"/>
        </w:rPr>
        <w:t>2.1 按照《</w:t>
      </w:r>
      <w:r>
        <w:rPr>
          <w:rFonts w:ascii="宋体" w:hAnsi="宋体" w:eastAsia="宋体"/>
          <w:sz w:val="21"/>
          <w:szCs w:val="21"/>
          <w:lang w:eastAsia="zh-CN"/>
        </w:rPr>
        <w:t>国家传染病智能监测预警前置软件数据集成和API接口规范</w:t>
      </w:r>
      <w:r>
        <w:rPr>
          <w:rFonts w:hint="eastAsia" w:ascii="宋体" w:hAnsi="宋体" w:eastAsia="宋体"/>
          <w:sz w:val="21"/>
          <w:szCs w:val="21"/>
          <w:lang w:eastAsia="zh-CN"/>
        </w:rPr>
        <w:t>》接口文档要求采集院内信息系统的数据，包括但不限于HIS、LIS、PACS、电子病历、传染病上报卡、广东省病案管理系统、血库系统、手术麻醉管理系统、重症管理系统、心电生理管理系统等系统的数据。</w:t>
      </w:r>
    </w:p>
    <w:p>
      <w:pPr>
        <w:widowControl w:val="0"/>
        <w:spacing w:line="360" w:lineRule="auto"/>
        <w:ind w:firstLine="480"/>
        <w:jc w:val="both"/>
        <w:rPr>
          <w:rFonts w:ascii="宋体" w:hAnsi="宋体" w:eastAsia="宋体"/>
          <w:sz w:val="21"/>
          <w:szCs w:val="21"/>
          <w:lang w:eastAsia="zh-CN"/>
        </w:rPr>
      </w:pPr>
      <w:r>
        <w:rPr>
          <w:rFonts w:hint="eastAsia" w:ascii="宋体" w:hAnsi="宋体" w:eastAsia="宋体"/>
          <w:sz w:val="21"/>
          <w:szCs w:val="21"/>
          <w:lang w:eastAsia="zh-CN"/>
        </w:rPr>
        <w:t>2.2 搭建前置机中间库操作系统和数据库环境，保证接口服务平台稳定，将</w:t>
      </w:r>
      <w:r>
        <w:rPr>
          <w:rFonts w:ascii="宋体" w:hAnsi="宋体" w:eastAsia="宋体"/>
          <w:sz w:val="21"/>
          <w:szCs w:val="21"/>
          <w:lang w:eastAsia="zh-CN"/>
        </w:rPr>
        <w:t>需要采集的业务数据写入前置机中间库</w:t>
      </w:r>
      <w:r>
        <w:rPr>
          <w:rFonts w:hint="eastAsia" w:ascii="宋体" w:hAnsi="宋体" w:eastAsia="宋体"/>
          <w:sz w:val="21"/>
          <w:szCs w:val="21"/>
          <w:lang w:eastAsia="zh-CN"/>
        </w:rPr>
        <w:t>，</w:t>
      </w:r>
      <w:r>
        <w:rPr>
          <w:rFonts w:ascii="宋体" w:hAnsi="宋体" w:eastAsia="宋体"/>
          <w:sz w:val="21"/>
          <w:szCs w:val="21"/>
          <w:lang w:eastAsia="zh-CN"/>
        </w:rPr>
        <w:t>根据国家传染病智能监测</w:t>
      </w:r>
      <w:r>
        <w:rPr>
          <w:rFonts w:hint="eastAsia" w:ascii="宋体" w:hAnsi="宋体" w:eastAsia="宋体"/>
          <w:sz w:val="21"/>
          <w:szCs w:val="21"/>
          <w:lang w:eastAsia="zh-CN"/>
        </w:rPr>
        <w:t>平台接口文档</w:t>
      </w:r>
      <w:r>
        <w:rPr>
          <w:rFonts w:ascii="宋体" w:hAnsi="宋体" w:eastAsia="宋体"/>
          <w:sz w:val="21"/>
          <w:szCs w:val="21"/>
          <w:lang w:eastAsia="zh-CN"/>
        </w:rPr>
        <w:t>要求，进行数据转换、字典转码、数据质量优化。</w:t>
      </w:r>
    </w:p>
    <w:p>
      <w:pPr>
        <w:spacing w:line="360" w:lineRule="auto"/>
        <w:rPr>
          <w:rFonts w:ascii="宋体" w:hAnsi="宋体" w:eastAsia="宋体" w:cs="宋体"/>
          <w:b/>
          <w:color w:val="000000" w:themeColor="text1"/>
          <w:lang w:eastAsia="zh-CN"/>
        </w:rPr>
      </w:pPr>
      <w:r>
        <w:rPr>
          <w:rFonts w:hint="eastAsia" w:ascii="宋体" w:hAnsi="宋体" w:eastAsia="宋体" w:cs="宋体"/>
          <w:b/>
          <w:color w:val="000000" w:themeColor="text1"/>
          <w:lang w:eastAsia="zh-CN"/>
        </w:rPr>
        <w:t>3．建设标准</w:t>
      </w:r>
    </w:p>
    <w:p>
      <w:pPr>
        <w:spacing w:line="360" w:lineRule="auto"/>
        <w:ind w:firstLine="315" w:firstLineChars="150"/>
        <w:rPr>
          <w:rFonts w:ascii="宋体" w:hAnsi="宋体" w:eastAsia="宋体" w:cs="TimesNewRomanPSMT"/>
          <w:sz w:val="21"/>
          <w:szCs w:val="21"/>
          <w:lang w:eastAsia="zh-CN" w:bidi="ar-SA"/>
        </w:rPr>
      </w:pPr>
      <w:r>
        <w:rPr>
          <w:rFonts w:hint="eastAsia" w:ascii="宋体" w:hAnsi="宋体" w:eastAsia="宋体" w:cs="TimesNewRomanPSMT"/>
          <w:sz w:val="21"/>
          <w:szCs w:val="21"/>
          <w:lang w:eastAsia="zh-CN" w:bidi="ar-SA"/>
        </w:rPr>
        <w:t>3.1</w:t>
      </w:r>
      <w:r>
        <w:rPr>
          <w:rFonts w:hint="eastAsia" w:ascii="宋体" w:hAnsi="宋体" w:eastAsia="宋体" w:cs="宋体"/>
          <w:color w:val="000000" w:themeColor="text1"/>
          <w:sz w:val="21"/>
          <w:szCs w:val="21"/>
          <w:lang w:eastAsia="zh-CN"/>
        </w:rPr>
        <w:t>遵照</w:t>
      </w:r>
      <w:r>
        <w:rPr>
          <w:rFonts w:hint="eastAsia" w:ascii="宋体" w:hAnsi="宋体" w:eastAsia="宋体" w:cs="宋体"/>
          <w:sz w:val="21"/>
          <w:szCs w:val="21"/>
          <w:lang w:eastAsia="zh-CN" w:bidi="ar-SA"/>
        </w:rPr>
        <w:t>电子病历基本数据集</w:t>
      </w:r>
      <w:r>
        <w:rPr>
          <w:rFonts w:ascii="宋体" w:hAnsi="宋体" w:eastAsia="宋体" w:cs="TimesNewRomanPSMT"/>
          <w:sz w:val="21"/>
          <w:szCs w:val="21"/>
          <w:lang w:eastAsia="zh-CN" w:bidi="ar-SA"/>
        </w:rPr>
        <w:t>WS 445-2014</w:t>
      </w:r>
    </w:p>
    <w:p>
      <w:pPr>
        <w:spacing w:line="360" w:lineRule="auto"/>
        <w:ind w:firstLine="315" w:firstLineChars="150"/>
        <w:rPr>
          <w:rFonts w:ascii="宋体" w:hAnsi="宋体" w:eastAsia="宋体" w:cs="宋体"/>
          <w:sz w:val="21"/>
          <w:szCs w:val="21"/>
          <w:lang w:eastAsia="zh-CN" w:bidi="ar-SA"/>
        </w:rPr>
      </w:pPr>
      <w:r>
        <w:rPr>
          <w:rFonts w:hint="eastAsia" w:ascii="宋体" w:hAnsi="宋体" w:eastAsia="宋体" w:cs="TimesNewRomanPSMT"/>
          <w:sz w:val="21"/>
          <w:szCs w:val="21"/>
          <w:lang w:eastAsia="zh-CN" w:bidi="ar-SA"/>
        </w:rPr>
        <w:t>3.2</w:t>
      </w:r>
      <w:r>
        <w:rPr>
          <w:rFonts w:hint="eastAsia" w:ascii="宋体" w:hAnsi="宋体" w:eastAsia="宋体" w:cs="宋体"/>
          <w:color w:val="000000" w:themeColor="text1"/>
          <w:sz w:val="21"/>
          <w:szCs w:val="21"/>
          <w:lang w:eastAsia="zh-CN"/>
        </w:rPr>
        <w:t>遵照</w:t>
      </w:r>
      <w:r>
        <w:rPr>
          <w:rFonts w:hint="eastAsia" w:ascii="宋体" w:hAnsi="宋体" w:eastAsia="宋体" w:cs="宋体"/>
          <w:sz w:val="21"/>
          <w:szCs w:val="21"/>
          <w:lang w:eastAsia="zh-CN" w:bidi="ar-SA"/>
        </w:rPr>
        <w:t>传染病信息报告管理规范</w:t>
      </w:r>
      <w:r>
        <w:rPr>
          <w:rFonts w:ascii="宋体" w:hAnsi="宋体" w:eastAsia="宋体" w:cs="TimesNewRomanPSMT"/>
          <w:sz w:val="21"/>
          <w:szCs w:val="21"/>
          <w:lang w:eastAsia="zh-CN" w:bidi="ar-SA"/>
        </w:rPr>
        <w:t xml:space="preserve">2015 </w:t>
      </w:r>
      <w:r>
        <w:rPr>
          <w:rFonts w:hint="eastAsia" w:ascii="宋体" w:hAnsi="宋体" w:eastAsia="宋体" w:cs="宋体"/>
          <w:sz w:val="21"/>
          <w:szCs w:val="21"/>
          <w:lang w:eastAsia="zh-CN" w:bidi="ar-SA"/>
        </w:rPr>
        <w:t>年版</w:t>
      </w:r>
    </w:p>
    <w:p>
      <w:pPr>
        <w:spacing w:line="360" w:lineRule="auto"/>
        <w:ind w:firstLine="315" w:firstLineChars="150"/>
        <w:rPr>
          <w:rFonts w:ascii="宋体" w:hAnsi="宋体" w:eastAsia="宋体" w:cs="TimesNewRomanPSMT"/>
          <w:sz w:val="21"/>
          <w:szCs w:val="21"/>
          <w:lang w:eastAsia="zh-CN" w:bidi="ar-SA"/>
        </w:rPr>
      </w:pPr>
      <w:r>
        <w:rPr>
          <w:rFonts w:hint="eastAsia" w:ascii="宋体" w:hAnsi="宋体" w:eastAsia="宋体" w:cs="TimesNewRomanPSMT"/>
          <w:sz w:val="21"/>
          <w:szCs w:val="21"/>
          <w:lang w:eastAsia="zh-CN" w:bidi="ar-SA"/>
        </w:rPr>
        <w:t>3.3</w:t>
      </w:r>
      <w:r>
        <w:rPr>
          <w:rFonts w:hint="eastAsia" w:ascii="宋体" w:hAnsi="宋体" w:eastAsia="宋体" w:cs="宋体"/>
          <w:color w:val="000000" w:themeColor="text1"/>
          <w:sz w:val="21"/>
          <w:szCs w:val="21"/>
          <w:lang w:eastAsia="zh-CN"/>
        </w:rPr>
        <w:t>遵照</w:t>
      </w:r>
      <w:r>
        <w:rPr>
          <w:rFonts w:hint="eastAsia" w:ascii="宋体" w:hAnsi="宋体" w:eastAsia="宋体" w:cs="宋体"/>
          <w:sz w:val="21"/>
          <w:szCs w:val="21"/>
          <w:lang w:eastAsia="zh-CN" w:bidi="ar-SA"/>
        </w:rPr>
        <w:t>电子病历共享文档规范</w:t>
      </w:r>
      <w:r>
        <w:rPr>
          <w:rFonts w:ascii="宋体" w:hAnsi="宋体" w:eastAsia="宋体" w:cs="TimesNewRomanPSMT"/>
          <w:sz w:val="21"/>
          <w:szCs w:val="21"/>
          <w:lang w:eastAsia="zh-CN" w:bidi="ar-SA"/>
        </w:rPr>
        <w:t>WST 500-2016</w:t>
      </w:r>
    </w:p>
    <w:p>
      <w:pPr>
        <w:spacing w:line="360" w:lineRule="auto"/>
        <w:ind w:firstLine="315" w:firstLineChars="150"/>
        <w:rPr>
          <w:rFonts w:ascii="宋体" w:hAnsi="宋体" w:eastAsia="宋体" w:cs="TimesNewRomanPSMT"/>
          <w:sz w:val="21"/>
          <w:szCs w:val="21"/>
          <w:lang w:eastAsia="zh-CN" w:bidi="ar-SA"/>
        </w:rPr>
      </w:pPr>
      <w:r>
        <w:rPr>
          <w:rFonts w:hint="eastAsia" w:ascii="宋体" w:hAnsi="宋体" w:eastAsia="宋体" w:cs="TimesNewRomanPSMT"/>
          <w:sz w:val="21"/>
          <w:szCs w:val="21"/>
          <w:lang w:eastAsia="zh-CN" w:bidi="ar-SA"/>
        </w:rPr>
        <w:t>3.4</w:t>
      </w:r>
      <w:r>
        <w:rPr>
          <w:rFonts w:hint="eastAsia" w:ascii="宋体" w:hAnsi="宋体" w:eastAsia="宋体" w:cs="宋体"/>
          <w:color w:val="000000" w:themeColor="text1"/>
          <w:sz w:val="21"/>
          <w:szCs w:val="21"/>
          <w:lang w:eastAsia="zh-CN"/>
        </w:rPr>
        <w:t>遵照</w:t>
      </w:r>
      <w:r>
        <w:rPr>
          <w:rFonts w:hint="eastAsia" w:ascii="宋体" w:hAnsi="宋体" w:eastAsia="宋体" w:cs="宋体"/>
          <w:sz w:val="21"/>
          <w:szCs w:val="21"/>
          <w:lang w:eastAsia="zh-CN" w:bidi="ar-SA"/>
        </w:rPr>
        <w:t>卫生健康信息数据元目录</w:t>
      </w:r>
      <w:r>
        <w:rPr>
          <w:rFonts w:ascii="宋体" w:hAnsi="宋体" w:eastAsia="宋体" w:cs="TimesNewRomanPSMT"/>
          <w:sz w:val="21"/>
          <w:szCs w:val="21"/>
          <w:lang w:eastAsia="zh-CN" w:bidi="ar-SA"/>
        </w:rPr>
        <w:t>WS/T 363-2023</w:t>
      </w:r>
    </w:p>
    <w:p>
      <w:pPr>
        <w:spacing w:line="360" w:lineRule="auto"/>
        <w:ind w:firstLine="315" w:firstLineChars="150"/>
        <w:rPr>
          <w:rFonts w:ascii="宋体" w:hAnsi="宋体" w:eastAsia="宋体" w:cs="宋体"/>
          <w:color w:val="000000" w:themeColor="text1"/>
          <w:sz w:val="21"/>
          <w:szCs w:val="21"/>
          <w:lang w:eastAsia="zh-CN"/>
        </w:rPr>
      </w:pPr>
      <w:r>
        <w:rPr>
          <w:rFonts w:hint="eastAsia" w:ascii="宋体" w:hAnsi="宋体" w:eastAsia="宋体" w:cs="TimesNewRomanPSMT"/>
          <w:sz w:val="21"/>
          <w:szCs w:val="21"/>
          <w:lang w:eastAsia="zh-CN" w:bidi="ar-SA"/>
        </w:rPr>
        <w:t>3.5</w:t>
      </w:r>
      <w:r>
        <w:rPr>
          <w:rFonts w:hint="eastAsia" w:ascii="宋体" w:hAnsi="宋体" w:eastAsia="宋体" w:cs="宋体"/>
          <w:color w:val="000000" w:themeColor="text1"/>
          <w:sz w:val="21"/>
          <w:szCs w:val="21"/>
          <w:lang w:eastAsia="zh-CN"/>
        </w:rPr>
        <w:t>遵照</w:t>
      </w:r>
      <w:r>
        <w:rPr>
          <w:rFonts w:hint="eastAsia" w:ascii="宋体" w:hAnsi="宋体" w:eastAsia="宋体" w:cs="宋体"/>
          <w:sz w:val="21"/>
          <w:szCs w:val="21"/>
          <w:lang w:eastAsia="zh-CN" w:bidi="ar-SA"/>
        </w:rPr>
        <w:t>卫生健康信息数据元值域代码</w:t>
      </w:r>
      <w:r>
        <w:rPr>
          <w:rFonts w:ascii="宋体" w:hAnsi="宋体" w:eastAsia="宋体" w:cs="TimesNewRomanPSMT"/>
          <w:sz w:val="21"/>
          <w:szCs w:val="21"/>
          <w:lang w:eastAsia="zh-CN" w:bidi="ar-SA"/>
        </w:rPr>
        <w:t>WS/T 364-2023</w:t>
      </w:r>
    </w:p>
    <w:p>
      <w:pPr>
        <w:spacing w:line="360" w:lineRule="auto"/>
        <w:rPr>
          <w:rFonts w:ascii="宋体" w:hAnsi="宋体" w:eastAsia="宋体" w:cs="宋体"/>
          <w:b/>
          <w:lang w:eastAsia="zh-CN" w:bidi="ar-SA"/>
        </w:rPr>
      </w:pPr>
      <w:r>
        <w:rPr>
          <w:rFonts w:hint="eastAsia" w:ascii="宋体" w:hAnsi="宋体" w:eastAsia="宋体" w:cs="宋体"/>
          <w:b/>
          <w:lang w:eastAsia="zh-CN" w:bidi="ar-SA"/>
        </w:rPr>
        <w:t>4.</w:t>
      </w:r>
      <w:r>
        <w:rPr>
          <w:rFonts w:hint="eastAsia" w:ascii="宋体" w:eastAsia="宋体" w:cs="宋体"/>
          <w:b/>
          <w:sz w:val="28"/>
          <w:szCs w:val="28"/>
          <w:lang w:eastAsia="zh-CN" w:bidi="ar-SA"/>
        </w:rPr>
        <w:t xml:space="preserve"> </w:t>
      </w:r>
      <w:r>
        <w:rPr>
          <w:rFonts w:hint="eastAsia" w:ascii="宋体" w:hAnsi="宋体" w:eastAsia="宋体" w:cs="宋体"/>
          <w:b/>
          <w:lang w:eastAsia="zh-CN" w:bidi="ar-SA"/>
        </w:rPr>
        <w:t>功能需求</w:t>
      </w:r>
    </w:p>
    <w:p>
      <w:pPr>
        <w:spacing w:line="360" w:lineRule="auto"/>
        <w:rPr>
          <w:rFonts w:ascii="宋体" w:hAnsi="宋体" w:eastAsia="宋体" w:cs="宋体"/>
          <w:b/>
          <w:lang w:eastAsia="zh-CN" w:bidi="ar-SA"/>
        </w:rPr>
      </w:pPr>
      <w:r>
        <w:rPr>
          <w:rFonts w:hint="eastAsia" w:ascii="宋体" w:hAnsi="宋体" w:eastAsia="宋体" w:cs="宋体"/>
          <w:b/>
          <w:lang w:eastAsia="zh-CN" w:bidi="ar-SA"/>
        </w:rPr>
        <w:t>4.1 支持实时采集数据表的功能。</w:t>
      </w:r>
    </w:p>
    <w:p>
      <w:pPr>
        <w:spacing w:line="360" w:lineRule="auto"/>
        <w:rPr>
          <w:rFonts w:ascii="宋体" w:hAnsi="宋体" w:eastAsia="宋体" w:cs="宋体"/>
          <w:color w:val="000000" w:themeColor="text1"/>
          <w:sz w:val="21"/>
          <w:szCs w:val="21"/>
          <w:lang w:eastAsia="zh-CN"/>
        </w:rPr>
      </w:pPr>
      <w:r>
        <w:rPr>
          <w:rFonts w:hint="eastAsia" w:ascii="宋体" w:hAnsi="宋体" w:eastAsia="宋体" w:cs="宋体"/>
          <w:sz w:val="21"/>
          <w:szCs w:val="21"/>
          <w:lang w:eastAsia="zh-CN" w:bidi="ar-SA"/>
        </w:rPr>
        <w:t xml:space="preserve">   4.1.1  支持实时采集</w:t>
      </w:r>
      <w:r>
        <w:rPr>
          <w:rFonts w:hint="eastAsia" w:ascii="宋体" w:hAnsi="宋体" w:eastAsia="宋体" w:cs="宋体"/>
          <w:color w:val="000000" w:themeColor="text1"/>
          <w:sz w:val="21"/>
          <w:szCs w:val="21"/>
          <w:lang w:eastAsia="zh-CN"/>
        </w:rPr>
        <w:t>患者基本信息表</w:t>
      </w:r>
      <w:r>
        <w:rPr>
          <w:rFonts w:ascii="宋体" w:hAnsi="宋体" w:eastAsia="宋体"/>
          <w:sz w:val="21"/>
          <w:szCs w:val="21"/>
        </w:rPr>
        <w:t>emr_patient_info</w:t>
      </w:r>
      <w:r>
        <w:rPr>
          <w:rFonts w:hint="eastAsia" w:ascii="宋体" w:hAnsi="宋体" w:eastAsia="宋体" w:cs="宋体"/>
          <w:color w:val="000000" w:themeColor="text1"/>
          <w:sz w:val="21"/>
          <w:szCs w:val="21"/>
          <w:lang w:eastAsia="zh-CN"/>
        </w:rPr>
        <w:t>的功能。</w:t>
      </w:r>
    </w:p>
    <w:p>
      <w:pPr>
        <w:spacing w:line="360" w:lineRule="auto"/>
        <w:rPr>
          <w:rFonts w:ascii="宋体" w:hAnsi="宋体" w:eastAsia="宋体" w:cs="宋体"/>
          <w:sz w:val="21"/>
          <w:szCs w:val="21"/>
          <w:lang w:eastAsia="zh-CN" w:bidi="ar-SA"/>
        </w:rPr>
      </w:pPr>
      <w:r>
        <w:rPr>
          <w:rFonts w:hint="eastAsia" w:ascii="宋体" w:hAnsi="宋体" w:eastAsia="宋体" w:cs="宋体"/>
          <w:color w:val="000000" w:themeColor="text1"/>
          <w:sz w:val="21"/>
          <w:szCs w:val="21"/>
          <w:lang w:eastAsia="zh-CN"/>
        </w:rPr>
        <w:t xml:space="preserve">   </w:t>
      </w:r>
      <w:r>
        <w:rPr>
          <w:rFonts w:hint="eastAsia" w:ascii="宋体" w:hAnsi="宋体" w:eastAsia="宋体" w:cs="宋体"/>
          <w:sz w:val="21"/>
          <w:szCs w:val="21"/>
          <w:lang w:eastAsia="zh-CN" w:bidi="ar-SA"/>
        </w:rPr>
        <w:t>4.1.2  支持实时采集患者诊疗活动信息表</w:t>
      </w:r>
      <w:r>
        <w:rPr>
          <w:rFonts w:ascii="宋体" w:hAnsi="宋体" w:eastAsia="宋体"/>
          <w:sz w:val="21"/>
          <w:szCs w:val="21"/>
        </w:rPr>
        <w:t>emr_activity_info</w:t>
      </w:r>
      <w:r>
        <w:rPr>
          <w:rFonts w:hint="eastAsia"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4.1.3  支持实时采集传染病报告卡数据表</w:t>
      </w:r>
      <w:r>
        <w:rPr>
          <w:rFonts w:ascii="宋体" w:hAnsi="宋体" w:eastAsia="宋体"/>
          <w:sz w:val="21"/>
          <w:szCs w:val="21"/>
          <w:lang w:eastAsia="zh-CN"/>
        </w:rPr>
        <w:t>emr_inf_report</w:t>
      </w:r>
      <w:r>
        <w:rPr>
          <w:rFonts w:hint="eastAsia" w:ascii="宋体" w:hAnsi="宋体" w:eastAsia="宋体" w:cs="宋体"/>
          <w:sz w:val="21"/>
          <w:szCs w:val="21"/>
          <w:lang w:eastAsia="zh-CN" w:bidi="ar-SA"/>
        </w:rPr>
        <w:t>的功能。</w:t>
      </w:r>
    </w:p>
    <w:p>
      <w:pPr>
        <w:spacing w:line="360" w:lineRule="auto"/>
        <w:rPr>
          <w:rFonts w:ascii="宋体" w:hAnsi="宋体" w:eastAsia="宋体" w:cs="宋体"/>
          <w:b/>
          <w:lang w:eastAsia="zh-CN" w:bidi="ar-SA"/>
        </w:rPr>
      </w:pPr>
      <w:r>
        <w:rPr>
          <w:rFonts w:hint="eastAsia" w:ascii="宋体" w:hAnsi="宋体" w:eastAsia="宋体" w:cs="宋体"/>
          <w:b/>
          <w:lang w:eastAsia="zh-CN" w:bidi="ar-SA"/>
        </w:rPr>
        <w:t>4.2支持采集</w:t>
      </w:r>
      <w:r>
        <w:rPr>
          <w:rFonts w:ascii="宋体" w:hAnsi="宋体" w:eastAsia="宋体" w:cs="宋体"/>
          <w:b/>
          <w:lang w:eastAsia="zh-CN" w:bidi="ar-SA"/>
        </w:rPr>
        <w:t>常规监测数据表的功能。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4.2.1 支持采集门（急）诊病历</w:t>
      </w:r>
      <w:r>
        <w:rPr>
          <w:rFonts w:ascii="宋体" w:hAnsi="宋体" w:eastAsia="宋体" w:cs="宋体"/>
          <w:sz w:val="21"/>
          <w:szCs w:val="21"/>
          <w:lang w:eastAsia="zh-CN" w:bidi="ar-SA"/>
        </w:rPr>
        <w:t>emr_outpatient_record信息表的功能。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4.2.2 支持采集门（急）诊留观记录</w:t>
      </w:r>
      <w:r>
        <w:rPr>
          <w:rFonts w:ascii="宋体" w:hAnsi="宋体" w:eastAsia="宋体" w:cs="宋体"/>
          <w:sz w:val="21"/>
          <w:szCs w:val="21"/>
          <w:lang w:eastAsia="zh-CN" w:bidi="ar-SA"/>
        </w:rPr>
        <w:t>emr_outpatient_obs信息表的功能。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4.2.3 支持采集入院记录</w:t>
      </w:r>
      <w:r>
        <w:rPr>
          <w:rFonts w:ascii="宋体" w:hAnsi="宋体" w:eastAsia="宋体" w:cs="宋体"/>
          <w:sz w:val="21"/>
          <w:szCs w:val="21"/>
          <w:lang w:eastAsia="zh-CN" w:bidi="ar-SA"/>
        </w:rPr>
        <w:t>emr_admission_info信息表的功能。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4.2.4 支持采集住院首次病程记录</w:t>
      </w:r>
      <w:r>
        <w:rPr>
          <w:rFonts w:ascii="宋体" w:hAnsi="宋体" w:eastAsia="宋体" w:cs="宋体"/>
          <w:sz w:val="21"/>
          <w:szCs w:val="21"/>
          <w:lang w:eastAsia="zh-CN" w:bidi="ar-SA"/>
        </w:rPr>
        <w:t>emr_first_course信息表的功能。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4.2.5 支持采集住院日常病程记录</w:t>
      </w:r>
      <w:r>
        <w:rPr>
          <w:rFonts w:ascii="宋体" w:hAnsi="宋体" w:eastAsia="宋体" w:cs="宋体"/>
          <w:sz w:val="21"/>
          <w:szCs w:val="21"/>
          <w:lang w:eastAsia="zh-CN" w:bidi="ar-SA"/>
        </w:rPr>
        <w:t>emr_daily_course信息表的功能。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4.2.6 支持采集住院病案首页</w:t>
      </w:r>
      <w:r>
        <w:rPr>
          <w:rFonts w:ascii="宋体" w:hAnsi="宋体" w:eastAsia="宋体" w:cs="宋体"/>
          <w:sz w:val="21"/>
          <w:szCs w:val="21"/>
          <w:lang w:eastAsia="zh-CN" w:bidi="ar-SA"/>
        </w:rPr>
        <w:t>emr_admission_record信息表的功能。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4.2.7 支持采集出院记录</w:t>
      </w:r>
      <w:r>
        <w:rPr>
          <w:rFonts w:ascii="宋体" w:hAnsi="宋体" w:eastAsia="宋体" w:cs="宋体"/>
          <w:sz w:val="21"/>
          <w:szCs w:val="21"/>
          <w:lang w:eastAsia="zh-CN" w:bidi="ar-SA"/>
        </w:rPr>
        <w:t>emr_discharge_info信息表的功能。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4.2.8 支持采集检查报告</w:t>
      </w:r>
      <w:r>
        <w:rPr>
          <w:rFonts w:ascii="宋体" w:hAnsi="宋体" w:eastAsia="宋体" w:cs="宋体"/>
          <w:sz w:val="21"/>
          <w:szCs w:val="21"/>
          <w:lang w:eastAsia="zh-CN" w:bidi="ar-SA"/>
        </w:rPr>
        <w:t>emr_ex_clinical信息表的功能。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4.2.9 支持采集检查报告项目</w:t>
      </w:r>
      <w:r>
        <w:rPr>
          <w:rFonts w:ascii="宋体" w:hAnsi="宋体" w:eastAsia="宋体" w:cs="宋体"/>
          <w:sz w:val="21"/>
          <w:szCs w:val="21"/>
          <w:lang w:eastAsia="zh-CN" w:bidi="ar-SA"/>
        </w:rPr>
        <w:t>emr_ex_clinical_item信息表的功能。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4.2.10 支持采集检验报告</w:t>
      </w:r>
      <w:r>
        <w:rPr>
          <w:rFonts w:ascii="宋体" w:hAnsi="宋体" w:eastAsia="宋体" w:cs="宋体"/>
          <w:sz w:val="21"/>
          <w:szCs w:val="21"/>
          <w:lang w:eastAsia="zh-CN" w:bidi="ar-SA"/>
        </w:rPr>
        <w:t>emr_ex_lab信息表的功能。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4.2.11 支持采集检验报告项目</w:t>
      </w:r>
      <w:r>
        <w:rPr>
          <w:rFonts w:ascii="宋体" w:hAnsi="宋体" w:eastAsia="宋体" w:cs="宋体"/>
          <w:sz w:val="21"/>
          <w:szCs w:val="21"/>
          <w:lang w:eastAsia="zh-CN" w:bidi="ar-SA"/>
        </w:rPr>
        <w:t>emr_ex_lab_item信息表的功能。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4.2.12 支持采集医嘱处方信息</w:t>
      </w:r>
      <w:r>
        <w:rPr>
          <w:rFonts w:ascii="宋体" w:hAnsi="宋体" w:eastAsia="宋体" w:cs="宋体"/>
          <w:sz w:val="21"/>
          <w:szCs w:val="21"/>
          <w:lang w:eastAsia="zh-CN" w:bidi="ar-SA"/>
        </w:rPr>
        <w:t>emr_order信息表的功能。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4.2.13 支持采集医嘱处方条目</w:t>
      </w:r>
      <w:r>
        <w:rPr>
          <w:rFonts w:ascii="宋体" w:hAnsi="宋体" w:eastAsia="宋体" w:cs="宋体"/>
          <w:sz w:val="21"/>
          <w:szCs w:val="21"/>
          <w:lang w:eastAsia="zh-CN" w:bidi="ar-SA"/>
        </w:rPr>
        <w:t>emr_order_item信息表的功能。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4.2.14 支持采集医死亡信息</w:t>
      </w:r>
      <w:r>
        <w:rPr>
          <w:rFonts w:ascii="宋体" w:hAnsi="宋体" w:eastAsia="宋体" w:cs="宋体"/>
          <w:sz w:val="21"/>
          <w:szCs w:val="21"/>
          <w:lang w:eastAsia="zh-CN" w:bidi="ar-SA"/>
        </w:rPr>
        <w:t>emr_death_info信息表的功能。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4.2.15 支持采集生命体征护理记录单</w:t>
      </w:r>
      <w:r>
        <w:rPr>
          <w:rFonts w:ascii="宋体" w:hAnsi="宋体" w:eastAsia="宋体" w:cs="宋体"/>
          <w:sz w:val="21"/>
          <w:szCs w:val="21"/>
          <w:lang w:eastAsia="zh-CN" w:bidi="ar-SA"/>
        </w:rPr>
        <w:t>emr_vital_signs_record信息表的功能。</w:t>
      </w:r>
    </w:p>
    <w:p>
      <w:pPr>
        <w:spacing w:line="360" w:lineRule="auto"/>
        <w:rPr>
          <w:rFonts w:ascii="宋体" w:hAnsi="宋体" w:eastAsia="宋体" w:cs="宋体"/>
          <w:b/>
          <w:lang w:eastAsia="zh-CN" w:bidi="ar-SA"/>
        </w:rPr>
      </w:pPr>
      <w:r>
        <w:rPr>
          <w:rFonts w:hint="eastAsia" w:ascii="宋体" w:hAnsi="宋体" w:eastAsia="宋体" w:cs="宋体"/>
          <w:b/>
          <w:lang w:eastAsia="zh-CN" w:bidi="ar-SA"/>
        </w:rPr>
        <w:t>4.3支持采集系统基础</w:t>
      </w:r>
      <w:r>
        <w:rPr>
          <w:rFonts w:ascii="宋体" w:hAnsi="宋体" w:eastAsia="宋体" w:cs="宋体"/>
          <w:b/>
          <w:lang w:eastAsia="zh-CN" w:bidi="ar-SA"/>
        </w:rPr>
        <w:t>数据表的功能。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4.3.1 支持采集医院信息系统用户信息</w:t>
      </w:r>
      <w:r>
        <w:rPr>
          <w:rFonts w:ascii="宋体" w:hAnsi="宋体" w:eastAsia="宋体" w:cs="宋体"/>
          <w:sz w:val="21"/>
          <w:szCs w:val="21"/>
          <w:lang w:eastAsia="zh-CN" w:bidi="ar-SA"/>
        </w:rPr>
        <w:t>base_user信息表的功能。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4.3.2 支持采集医院信息系统科室信息</w:t>
      </w:r>
      <w:r>
        <w:rPr>
          <w:rFonts w:ascii="宋体" w:hAnsi="宋体" w:eastAsia="宋体" w:cs="宋体"/>
          <w:sz w:val="21"/>
          <w:szCs w:val="21"/>
          <w:lang w:eastAsia="zh-CN" w:bidi="ar-SA"/>
        </w:rPr>
        <w:t>base_dept信息表的功能。</w:t>
      </w:r>
    </w:p>
    <w:p>
      <w:pPr>
        <w:spacing w:line="360" w:lineRule="auto"/>
        <w:rPr>
          <w:rFonts w:ascii="宋体" w:hAnsi="宋体" w:eastAsia="宋体" w:cs="宋体"/>
          <w:b/>
          <w:lang w:eastAsia="zh-CN" w:bidi="ar-SA"/>
        </w:rPr>
      </w:pPr>
      <w:r>
        <w:rPr>
          <w:rFonts w:hint="eastAsia" w:ascii="宋体" w:hAnsi="宋体" w:eastAsia="宋体" w:cs="宋体"/>
          <w:b/>
          <w:lang w:eastAsia="zh-CN" w:bidi="ar-SA"/>
        </w:rPr>
        <w:t>4.4 支持医院信息系统</w:t>
      </w:r>
      <w:r>
        <w:rPr>
          <w:rFonts w:ascii="宋体" w:hAnsi="宋体" w:eastAsia="宋体" w:cs="宋体"/>
          <w:b/>
          <w:lang w:eastAsia="zh-CN" w:bidi="ar-SA"/>
        </w:rPr>
        <w:t>数据记录的新增、修改、删除操作 API 接口的功能。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 支持患者基本信息表数据操作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4.4.2 支持诊疗活动信息表数据操作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4.4.3 支持传染病报告卡数据操作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4.4.4 支持门（急）诊病历表数据操作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4.4.5 支持门（急）诊留观记录表数据操作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4.4.6 支持入院记录表数据操作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4.4.7 支持住院首次病程记录表数据操作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4.4.8 支持住院日常病程记录表数据操作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4.4.9 支持住院病案首页表数据操作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4.4.10 支持出院记录表数据操作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4.4.11 支持检查报告表数据操作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4.4.12 支持检查报告项目表数据操作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4.4.13 支持检验报告表数据操作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4.4.14 支持检验报告项目表数据操作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4.4.15 支持医嘱处方信息表数据操作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4.4.16 支持医嘱处方条目表数据操作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4.4.17 支持死亡信息表数据操作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4.4.18 支持生命体征护理记录单数据操作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4.4.19 支持医院信息系统用户信息表数据操作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4.4.20  支持医院信息系统科室信息数据操作</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w:t>
      </w:r>
      <w:r>
        <w:rPr>
          <w:rFonts w:ascii="宋体" w:hAnsi="宋体" w:eastAsia="宋体" w:cs="宋体"/>
          <w:sz w:val="21"/>
          <w:szCs w:val="21"/>
          <w:lang w:eastAsia="zh-CN" w:bidi="ar-SA"/>
        </w:rPr>
        <w:t>的功能。</w:t>
      </w:r>
    </w:p>
    <w:p>
      <w:pPr>
        <w:widowControl w:val="0"/>
        <w:autoSpaceDE w:val="0"/>
        <w:autoSpaceDN w:val="0"/>
        <w:adjustRightInd w:val="0"/>
        <w:spacing w:line="360" w:lineRule="auto"/>
        <w:rPr>
          <w:rFonts w:ascii="宋体" w:hAnsi="宋体" w:eastAsia="宋体" w:cs="宋体"/>
          <w:b/>
          <w:lang w:eastAsia="zh-CN" w:bidi="ar-SA"/>
        </w:rPr>
      </w:pPr>
      <w:r>
        <w:rPr>
          <w:rFonts w:hint="eastAsia" w:ascii="宋体" w:hAnsi="宋体" w:eastAsia="宋体" w:cs="宋体"/>
          <w:b/>
          <w:lang w:eastAsia="zh-CN" w:bidi="ar-SA"/>
        </w:rPr>
        <w:t>4.5</w:t>
      </w:r>
      <w:r>
        <w:rPr>
          <w:rFonts w:hint="eastAsia" w:ascii="宋体" w:eastAsia="宋体" w:cs="宋体"/>
          <w:b/>
          <w:sz w:val="28"/>
          <w:szCs w:val="28"/>
          <w:lang w:eastAsia="zh-CN" w:bidi="ar-SA"/>
        </w:rPr>
        <w:t xml:space="preserve"> </w:t>
      </w:r>
      <w:r>
        <w:rPr>
          <w:rFonts w:hint="eastAsia" w:ascii="宋体" w:hAnsi="宋体" w:eastAsia="宋体" w:cs="宋体"/>
          <w:b/>
          <w:lang w:eastAsia="zh-CN" w:bidi="ar-SA"/>
        </w:rPr>
        <w:t>支持单点登录</w:t>
      </w:r>
      <w:r>
        <w:rPr>
          <w:rFonts w:ascii="宋体" w:hAnsi="宋体" w:eastAsia="宋体" w:cs="宋体"/>
          <w:b/>
          <w:bCs/>
          <w:lang w:eastAsia="zh-CN" w:bidi="ar-SA"/>
        </w:rPr>
        <w:t xml:space="preserve">API </w:t>
      </w:r>
      <w:r>
        <w:rPr>
          <w:rFonts w:hint="eastAsia" w:ascii="宋体" w:hAnsi="宋体" w:eastAsia="宋体" w:cs="宋体"/>
          <w:b/>
          <w:lang w:eastAsia="zh-CN" w:bidi="ar-SA"/>
        </w:rPr>
        <w:t>接口和消息查询</w:t>
      </w:r>
      <w:r>
        <w:rPr>
          <w:rFonts w:ascii="宋体" w:hAnsi="宋体" w:eastAsia="宋体" w:cs="宋体"/>
          <w:b/>
          <w:lang w:eastAsia="zh-CN" w:bidi="ar-SA"/>
        </w:rPr>
        <w:t>API 接口</w:t>
      </w:r>
      <w:r>
        <w:rPr>
          <w:rFonts w:hint="eastAsia" w:ascii="宋体" w:hAnsi="宋体" w:eastAsia="宋体" w:cs="宋体"/>
          <w:b/>
          <w:lang w:eastAsia="zh-CN" w:bidi="ar-SA"/>
        </w:rPr>
        <w:t>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4.5.1 支持获取私钥</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4.5.2 支持单点登录</w:t>
      </w:r>
      <w:r>
        <w:rPr>
          <w:rFonts w:ascii="宋体" w:hAnsi="宋体" w:eastAsia="宋体" w:cs="宋体"/>
          <w:sz w:val="21"/>
          <w:szCs w:val="21"/>
          <w:lang w:eastAsia="zh-CN" w:bidi="ar-SA"/>
        </w:rPr>
        <w:t xml:space="preserve">API </w:t>
      </w:r>
      <w:r>
        <w:rPr>
          <w:rFonts w:hint="eastAsia" w:ascii="宋体" w:hAnsi="宋体" w:eastAsia="宋体" w:cs="宋体"/>
          <w:sz w:val="21"/>
          <w:szCs w:val="21"/>
          <w:lang w:eastAsia="zh-CN" w:bidi="ar-SA"/>
        </w:rPr>
        <w:t>接口的功能</w:t>
      </w:r>
    </w:p>
    <w:p>
      <w:pPr>
        <w:spacing w:line="360" w:lineRule="auto"/>
        <w:ind w:firstLine="308" w:firstLineChars="147"/>
        <w:rPr>
          <w:rFonts w:ascii="宋体" w:hAnsi="宋体" w:eastAsia="宋体" w:cs="宋体"/>
          <w:sz w:val="21"/>
          <w:szCs w:val="21"/>
          <w:lang w:eastAsia="zh-CN" w:bidi="ar-SA"/>
        </w:rPr>
      </w:pPr>
      <w:r>
        <w:rPr>
          <w:rFonts w:hint="eastAsia" w:ascii="宋体" w:hAnsi="宋体" w:eastAsia="宋体" w:cs="宋体"/>
          <w:sz w:val="21"/>
          <w:szCs w:val="21"/>
          <w:lang w:eastAsia="zh-CN" w:bidi="ar-SA"/>
        </w:rPr>
        <w:t>4.5.3 支持</w:t>
      </w:r>
      <w:r>
        <w:rPr>
          <w:rFonts w:ascii="宋体" w:hAnsi="宋体" w:eastAsia="宋体" w:cs="宋体"/>
          <w:sz w:val="21"/>
          <w:szCs w:val="21"/>
          <w:lang w:eastAsia="zh-CN" w:bidi="ar-SA"/>
        </w:rPr>
        <w:t>消息查阅 API 接口的功能。</w:t>
      </w:r>
    </w:p>
    <w:p>
      <w:pPr>
        <w:widowControl w:val="0"/>
        <w:autoSpaceDE w:val="0"/>
        <w:autoSpaceDN w:val="0"/>
        <w:adjustRightInd w:val="0"/>
        <w:spacing w:line="360" w:lineRule="auto"/>
        <w:rPr>
          <w:rFonts w:hint="eastAsia" w:ascii="宋体" w:hAnsi="宋体" w:eastAsia="宋体" w:cs="宋体"/>
          <w:b/>
          <w:lang w:eastAsia="zh-CN" w:bidi="ar-SA"/>
        </w:rPr>
      </w:pPr>
      <w:r>
        <w:rPr>
          <w:rFonts w:hint="eastAsia" w:ascii="宋体" w:hAnsi="宋体" w:eastAsia="宋体" w:cs="宋体"/>
          <w:b/>
          <w:lang w:eastAsia="zh-CN" w:bidi="ar-SA"/>
        </w:rPr>
        <w:t>4.6  详细接口参数详见</w:t>
      </w:r>
      <w:r>
        <w:rPr>
          <w:rFonts w:ascii="宋体" w:hAnsi="宋体" w:eastAsia="宋体" w:cs="宋体"/>
          <w:b/>
          <w:lang w:eastAsia="zh-CN" w:bidi="ar-SA"/>
        </w:rPr>
        <w:t>中国疾病预防控制中心</w:t>
      </w:r>
      <w:r>
        <w:rPr>
          <w:rFonts w:hint="eastAsia" w:ascii="宋体" w:hAnsi="宋体" w:eastAsia="宋体" w:cs="宋体"/>
          <w:b/>
          <w:lang w:eastAsia="zh-CN" w:bidi="ar-SA"/>
        </w:rPr>
        <w:t>提供的《</w:t>
      </w:r>
      <w:r>
        <w:rPr>
          <w:rFonts w:ascii="宋体" w:hAnsi="宋体" w:eastAsia="宋体" w:cs="宋体"/>
          <w:b/>
          <w:lang w:eastAsia="zh-CN" w:bidi="ar-SA"/>
        </w:rPr>
        <w:t>国家传染病智能监测预警前置软件数据集成和API接口规范</w:t>
      </w:r>
      <w:r>
        <w:rPr>
          <w:rFonts w:hint="eastAsia" w:ascii="宋体" w:hAnsi="宋体" w:eastAsia="宋体" w:cs="宋体"/>
          <w:b/>
          <w:lang w:eastAsia="zh-CN" w:bidi="ar-SA"/>
        </w:rPr>
        <w:t>》文档及最新要求。</w:t>
      </w:r>
    </w:p>
    <w:p>
      <w:pPr>
        <w:widowControl w:val="0"/>
        <w:autoSpaceDE w:val="0"/>
        <w:autoSpaceDN w:val="0"/>
        <w:adjustRightInd w:val="0"/>
        <w:spacing w:line="360" w:lineRule="auto"/>
        <w:rPr>
          <w:rFonts w:ascii="宋体" w:hAnsi="宋体" w:eastAsia="宋体" w:cs="宋体"/>
          <w:b/>
          <w:lang w:eastAsia="zh-CN" w:bidi="ar-SA"/>
        </w:rPr>
      </w:pPr>
      <w:r>
        <w:rPr>
          <w:rFonts w:ascii="宋体" w:hAnsi="宋体" w:eastAsia="宋体" w:cs="宋体"/>
          <w:b/>
          <w:lang w:eastAsia="zh-CN" w:bidi="ar-SA"/>
        </w:rPr>
        <w:t>★</w:t>
      </w:r>
      <w:r>
        <w:rPr>
          <w:rFonts w:hint="eastAsia" w:ascii="宋体" w:hAnsi="宋体" w:eastAsia="宋体" w:cs="宋体"/>
          <w:b/>
          <w:lang w:eastAsia="zh-CN" w:bidi="ar-SA"/>
        </w:rPr>
        <w:t>4.7 接口配套</w:t>
      </w:r>
    </w:p>
    <w:p>
      <w:pPr>
        <w:spacing w:line="360" w:lineRule="auto"/>
        <w:ind w:firstLine="413" w:firstLineChars="197"/>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本接口改造项目涉及到的与医院现有信息系统的接口费用应包含在该项目的整体报价中，费用与医院信息系统厂商协商，医院不再另行支付与本项目相关的接口费用。项目实施及维保期内，因国家政策或政府、医院上级部门要求导致的被动性程序修改，及时提供程序修改服务，保证系统在要求的时限内正常、稳定、准确运行。本项目支持与医院现有信息系统包含但不限于广东省病案管理系统、HIS、LIS、PACS、ERP、EMR、手术麻醉系统、重症监护系统、传染病上报系统等医院现有信息系统进行对接，后续预留集成平台对接。</w:t>
      </w:r>
    </w:p>
    <w:p>
      <w:pPr>
        <w:widowControl w:val="0"/>
        <w:autoSpaceDE w:val="0"/>
        <w:autoSpaceDN w:val="0"/>
        <w:adjustRightInd w:val="0"/>
        <w:spacing w:line="360" w:lineRule="auto"/>
        <w:rPr>
          <w:rFonts w:hint="eastAsia" w:ascii="宋体" w:hAnsi="宋体" w:eastAsia="宋体" w:cs="宋体"/>
          <w:b/>
          <w:lang w:eastAsia="zh-CN" w:bidi="ar-SA"/>
        </w:rPr>
      </w:pPr>
      <w:r>
        <w:rPr>
          <w:rFonts w:hint="eastAsia" w:ascii="宋体" w:hAnsi="宋体" w:eastAsia="宋体" w:cs="宋体"/>
          <w:b/>
          <w:lang w:eastAsia="zh-CN" w:bidi="ar-SA"/>
        </w:rPr>
        <w:t>4.8 国家传染病智能监测预警前置服务器功能要求</w:t>
      </w:r>
    </w:p>
    <w:tbl>
      <w:tblPr>
        <w:tblStyle w:val="32"/>
        <w:tblW w:w="53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15"/>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76" w:type="pct"/>
            <w:vAlign w:val="center"/>
          </w:tcPr>
          <w:p>
            <w:pPr>
              <w:rPr>
                <w:rFonts w:hint="eastAsia" w:ascii="宋体" w:hAnsi="宋体" w:eastAsia="宋体" w:cs="宋体"/>
                <w:sz w:val="21"/>
                <w:szCs w:val="21"/>
                <w:lang w:eastAsia="zh-CN" w:bidi="ar-SA"/>
              </w:rPr>
            </w:pPr>
            <w:r>
              <w:rPr>
                <w:rFonts w:hint="eastAsia" w:ascii="宋体" w:hAnsi="宋体" w:eastAsia="宋体" w:cs="宋体"/>
                <w:sz w:val="21"/>
                <w:szCs w:val="21"/>
                <w:lang w:eastAsia="zh-CN" w:bidi="ar-SA"/>
              </w:rPr>
              <w:t>设备</w:t>
            </w:r>
          </w:p>
          <w:p>
            <w:pPr>
              <w:rPr>
                <w:rFonts w:ascii="宋体" w:hAnsi="宋体" w:eastAsia="宋体" w:cs="宋体"/>
                <w:sz w:val="21"/>
                <w:szCs w:val="21"/>
                <w:lang w:eastAsia="zh-CN" w:bidi="ar-SA"/>
              </w:rPr>
            </w:pPr>
            <w:r>
              <w:rPr>
                <w:rFonts w:hint="eastAsia" w:ascii="宋体" w:hAnsi="宋体" w:eastAsia="宋体" w:cs="宋体"/>
                <w:sz w:val="21"/>
                <w:szCs w:val="21"/>
                <w:lang w:eastAsia="zh-CN" w:bidi="ar-SA"/>
              </w:rPr>
              <w:t>名称</w:t>
            </w:r>
          </w:p>
        </w:tc>
        <w:tc>
          <w:tcPr>
            <w:tcW w:w="477" w:type="pct"/>
            <w:vAlign w:val="center"/>
          </w:tcPr>
          <w:p>
            <w:pPr>
              <w:rPr>
                <w:rFonts w:ascii="宋体" w:hAnsi="宋体" w:eastAsia="宋体" w:cs="宋体"/>
                <w:sz w:val="21"/>
                <w:szCs w:val="21"/>
                <w:lang w:eastAsia="zh-CN" w:bidi="ar-SA"/>
              </w:rPr>
            </w:pPr>
            <w:r>
              <w:rPr>
                <w:rFonts w:hint="eastAsia" w:ascii="宋体" w:hAnsi="宋体" w:eastAsia="宋体" w:cs="宋体"/>
                <w:sz w:val="21"/>
                <w:szCs w:val="21"/>
                <w:lang w:eastAsia="zh-CN" w:bidi="ar-SA"/>
              </w:rPr>
              <w:t>数量</w:t>
            </w:r>
          </w:p>
        </w:tc>
        <w:tc>
          <w:tcPr>
            <w:tcW w:w="4048" w:type="pct"/>
            <w:vAlign w:val="center"/>
          </w:tcPr>
          <w:p>
            <w:pPr>
              <w:jc w:val="center"/>
              <w:rPr>
                <w:rFonts w:ascii="宋体" w:hAnsi="宋体" w:eastAsia="宋体" w:cs="宋体"/>
                <w:sz w:val="21"/>
                <w:szCs w:val="21"/>
                <w:lang w:eastAsia="zh-CN" w:bidi="ar-SA"/>
              </w:rPr>
            </w:pPr>
            <w:r>
              <w:rPr>
                <w:rFonts w:hint="eastAsia" w:ascii="宋体" w:hAnsi="宋体" w:eastAsia="宋体" w:cs="宋体"/>
                <w:sz w:val="21"/>
                <w:szCs w:val="21"/>
                <w:lang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76" w:type="pct"/>
            <w:vAlign w:val="center"/>
          </w:tcPr>
          <w:p>
            <w:pPr>
              <w:rPr>
                <w:rFonts w:ascii="宋体" w:hAnsi="宋体" w:eastAsia="宋体" w:cs="宋体"/>
                <w:sz w:val="21"/>
                <w:szCs w:val="21"/>
                <w:lang w:eastAsia="zh-CN" w:bidi="ar-SA"/>
              </w:rPr>
            </w:pPr>
            <w:r>
              <w:rPr>
                <w:rFonts w:hint="eastAsia" w:ascii="宋体" w:hAnsi="宋体" w:eastAsia="宋体" w:cs="宋体"/>
                <w:sz w:val="21"/>
                <w:szCs w:val="21"/>
                <w:lang w:eastAsia="zh-CN" w:bidi="ar-SA"/>
              </w:rPr>
              <w:t>国家传染病智能监测预警前置服务器</w:t>
            </w:r>
          </w:p>
        </w:tc>
        <w:tc>
          <w:tcPr>
            <w:tcW w:w="477" w:type="pct"/>
            <w:vAlign w:val="center"/>
          </w:tcPr>
          <w:p>
            <w:pPr>
              <w:rPr>
                <w:rFonts w:ascii="宋体" w:hAnsi="宋体" w:eastAsia="宋体" w:cs="宋体"/>
                <w:sz w:val="21"/>
                <w:szCs w:val="21"/>
                <w:lang w:eastAsia="zh-CN" w:bidi="ar-SA"/>
              </w:rPr>
            </w:pPr>
            <w:r>
              <w:rPr>
                <w:rFonts w:hint="eastAsia" w:ascii="宋体" w:hAnsi="宋体" w:eastAsia="宋体" w:cs="宋体"/>
                <w:sz w:val="21"/>
                <w:szCs w:val="21"/>
                <w:lang w:eastAsia="zh-CN" w:bidi="ar-SA"/>
              </w:rPr>
              <w:t>1台</w:t>
            </w:r>
          </w:p>
        </w:tc>
        <w:tc>
          <w:tcPr>
            <w:tcW w:w="4048" w:type="pct"/>
            <w:vAlign w:val="center"/>
          </w:tcPr>
          <w:p>
            <w:pPr>
              <w:rPr>
                <w:rFonts w:ascii="宋体" w:hAnsi="宋体" w:eastAsia="宋体" w:cs="宋体"/>
                <w:color w:val="000000"/>
                <w:szCs w:val="21"/>
                <w:lang w:eastAsia="zh-CN"/>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1</w:t>
            </w:r>
            <w:r>
              <w:rPr>
                <w:rFonts w:hint="eastAsia" w:ascii="宋体" w:hAnsi="宋体" w:eastAsia="宋体" w:cs="宋体"/>
                <w:b/>
                <w:bCs/>
                <w:color w:val="000000"/>
                <w:szCs w:val="21"/>
                <w:lang w:eastAsia="zh-CN"/>
              </w:rPr>
              <w:t>）基本要求</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1、服务器参考品牌：</w:t>
            </w:r>
            <w:r>
              <w:rPr>
                <w:rFonts w:ascii="宋体" w:hAnsi="宋体" w:eastAsia="宋体" w:cs="宋体"/>
                <w:sz w:val="21"/>
                <w:szCs w:val="21"/>
                <w:lang w:eastAsia="zh-CN" w:bidi="ar-SA"/>
              </w:rPr>
              <w:t>国产主流品牌</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2、服务器类型：机架式</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3、服务器机箱：服务器2U高度，12*3.5英寸硬盘机架式</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4、CPU：采用国产自研CPU，核数≥64核，主频≥2.6GHz。</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5、内存：DDR4内存，总容量≥256GB</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6、存储空间：单盘容量≥1.92T，存储介质类型:SSD，数量≥2个</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7、阵列卡：配置独立阵列卡，支持RAID 0、RAID 1、RAID 10，JBOD阵列策略</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8、网卡：千兆电网卡≥4个，方便连接院内网络环境和外部网络</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9、GPU：配置国产自研GPU推理卡，缓存≥32G，便于提高AI算法计算速度和准确性;</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10、电源：配备2块900W交流电源模块，冗余设计</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11、服务器操作系统：正版授权的国产信创操作系统服务器版，如麒麟、欧拉、统信等国产操作系统的服务器版；</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12、数据库支持：服务器需支持运行0penGauss或同等架构的数据库，服务器需支持运行此架构数据库。</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1</w:t>
            </w:r>
            <w:r>
              <w:rPr>
                <w:rFonts w:ascii="宋体" w:hAnsi="宋体" w:eastAsia="宋体" w:cs="宋体"/>
                <w:sz w:val="21"/>
                <w:szCs w:val="21"/>
                <w:lang w:eastAsia="zh-CN" w:bidi="ar-SA"/>
              </w:rPr>
              <w:t>3</w:t>
            </w:r>
            <w:r>
              <w:rPr>
                <w:rFonts w:hint="eastAsia" w:ascii="宋体" w:hAnsi="宋体" w:eastAsia="宋体" w:cs="宋体"/>
                <w:sz w:val="21"/>
                <w:szCs w:val="21"/>
                <w:lang w:eastAsia="zh-CN" w:bidi="ar-SA"/>
              </w:rPr>
              <w:t>、产品的技术指标及要求，均为原厂出厂配置，可通过机身序列号在厂商官网查询项目订单，产品配件，售后维保等详细记录信息；</w:t>
            </w:r>
          </w:p>
          <w:p>
            <w:pPr>
              <w:rPr>
                <w:rFonts w:ascii="宋体" w:hAnsi="宋体" w:eastAsia="宋体" w:cs="宋体"/>
                <w:b/>
                <w:bCs/>
                <w:color w:val="000000"/>
                <w:szCs w:val="21"/>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2</w:t>
            </w:r>
            <w:r>
              <w:rPr>
                <w:rFonts w:hint="eastAsia" w:ascii="宋体" w:hAnsi="宋体" w:eastAsia="宋体" w:cs="宋体"/>
                <w:b/>
                <w:bCs/>
                <w:color w:val="000000"/>
                <w:szCs w:val="21"/>
                <w:lang w:eastAsia="zh-CN"/>
              </w:rPr>
              <w:t>）</w:t>
            </w:r>
            <w:r>
              <w:rPr>
                <w:rFonts w:hint="eastAsia" w:ascii="宋体" w:hAnsi="宋体" w:eastAsia="宋体" w:cs="宋体"/>
                <w:b/>
                <w:bCs/>
                <w:color w:val="000000"/>
                <w:szCs w:val="21"/>
              </w:rPr>
              <w:t>服务支持</w:t>
            </w:r>
          </w:p>
          <w:p>
            <w:pPr>
              <w:ind w:firstLine="413" w:firstLineChars="197"/>
              <w:rPr>
                <w:rFonts w:ascii="宋体" w:hAnsi="宋体" w:eastAsia="宋体" w:cs="宋体"/>
                <w:sz w:val="21"/>
                <w:szCs w:val="21"/>
                <w:lang w:eastAsia="zh-CN" w:bidi="ar-SA"/>
              </w:rPr>
            </w:pPr>
            <w:r>
              <w:rPr>
                <w:rFonts w:ascii="宋体" w:hAnsi="宋体" w:eastAsia="宋体" w:cs="宋体"/>
                <w:sz w:val="21"/>
                <w:szCs w:val="21"/>
                <w:lang w:eastAsia="zh-CN" w:bidi="ar-SA"/>
              </w:rPr>
              <w:t>14</w:t>
            </w:r>
            <w:r>
              <w:rPr>
                <w:rFonts w:hint="eastAsia" w:ascii="宋体" w:hAnsi="宋体" w:eastAsia="宋体" w:cs="宋体"/>
                <w:sz w:val="21"/>
                <w:szCs w:val="21"/>
                <w:lang w:eastAsia="zh-CN" w:bidi="ar-SA"/>
              </w:rPr>
              <w:t>、包含 3 年 7*24 小时全天候支持服务，电话响应在 10 分钟内，紧急故障现场响应时间在2小时内。投标时需提供原厂制造商的授权函和原厂售后服务承诺函并需说明硬件类产品需提供不少于三年原厂质保服务；软件类产品需提供不少于三年原厂质保服务及软件维护升级服务。原厂售后服务承诺函需包含产品首次部署时的原厂实施以及原厂售后服务。</w:t>
            </w:r>
          </w:p>
          <w:p>
            <w:pPr>
              <w:ind w:firstLine="413" w:firstLineChars="197"/>
              <w:rPr>
                <w:rFonts w:ascii="宋体" w:hAnsi="宋体" w:eastAsia="宋体" w:cs="宋体"/>
                <w:sz w:val="21"/>
                <w:szCs w:val="21"/>
                <w:lang w:eastAsia="zh-CN" w:bidi="ar-SA"/>
              </w:rPr>
            </w:pPr>
            <w:r>
              <w:rPr>
                <w:rFonts w:ascii="宋体" w:hAnsi="宋体" w:eastAsia="宋体" w:cs="宋体"/>
                <w:sz w:val="21"/>
                <w:szCs w:val="21"/>
                <w:lang w:eastAsia="zh-CN" w:bidi="ar-SA"/>
              </w:rPr>
              <w:t>15</w:t>
            </w:r>
            <w:r>
              <w:rPr>
                <w:rFonts w:hint="eastAsia" w:ascii="宋体" w:hAnsi="宋体" w:eastAsia="宋体" w:cs="宋体"/>
                <w:sz w:val="21"/>
                <w:szCs w:val="21"/>
                <w:lang w:eastAsia="zh-CN" w:bidi="ar-SA"/>
              </w:rPr>
              <w:t>、故障硬件更换服务（配件先行）</w:t>
            </w:r>
          </w:p>
          <w:p>
            <w:pPr>
              <w:ind w:firstLine="413" w:firstLineChars="197"/>
              <w:rPr>
                <w:rFonts w:ascii="宋体" w:hAnsi="宋体" w:eastAsia="宋体" w:cs="宋体"/>
                <w:sz w:val="21"/>
                <w:szCs w:val="21"/>
                <w:lang w:eastAsia="zh-CN" w:bidi="ar-SA"/>
              </w:rPr>
            </w:pPr>
            <w:r>
              <w:rPr>
                <w:rFonts w:ascii="宋体" w:hAnsi="宋体" w:eastAsia="宋体" w:cs="宋体"/>
                <w:sz w:val="21"/>
                <w:szCs w:val="21"/>
                <w:lang w:eastAsia="zh-CN" w:bidi="ar-SA"/>
              </w:rPr>
              <w:t>16</w:t>
            </w:r>
            <w:r>
              <w:rPr>
                <w:rFonts w:hint="eastAsia" w:ascii="宋体" w:hAnsi="宋体" w:eastAsia="宋体" w:cs="宋体"/>
                <w:sz w:val="21"/>
                <w:szCs w:val="21"/>
                <w:lang w:eastAsia="zh-CN" w:bidi="ar-SA"/>
              </w:rPr>
              <w:t>、包含用户现场的原厂首次安装实施服务，具体包括设备上架、调试，基本配置以及产品培训等服务。培训分为产品安装调试时的现场培训和试运行期间的补充培训。现场培训可以在产品安装调试时，对系统维护管理人员进行当场培训，使其对系统有更直观 地了解，初步掌握系统的管理和维护技能。在系统试 运行期间，对系统维护管理人员，进行现场维护管理的补充培训，以便在系统终验后顺利交接。</w:t>
            </w:r>
          </w:p>
          <w:p>
            <w:pPr>
              <w:ind w:firstLine="413" w:firstLineChars="197"/>
              <w:rPr>
                <w:rFonts w:ascii="宋体" w:hAnsi="宋体" w:eastAsia="宋体" w:cs="宋体"/>
                <w:sz w:val="21"/>
                <w:szCs w:val="21"/>
                <w:lang w:eastAsia="zh-CN" w:bidi="ar-SA"/>
              </w:rPr>
            </w:pPr>
            <w:bookmarkStart w:id="4" w:name="_GoBack"/>
            <w:bookmarkEnd w:id="4"/>
            <w:r>
              <w:rPr>
                <w:rFonts w:hint="eastAsia" w:ascii="宋体" w:hAnsi="宋体" w:eastAsia="宋体" w:cs="宋体"/>
                <w:sz w:val="21"/>
                <w:szCs w:val="21"/>
                <w:lang w:eastAsia="zh-CN" w:bidi="ar-SA"/>
              </w:rPr>
              <w:t>1</w:t>
            </w:r>
            <w:r>
              <w:rPr>
                <w:rFonts w:ascii="宋体" w:hAnsi="宋体" w:eastAsia="宋体" w:cs="宋体"/>
                <w:sz w:val="21"/>
                <w:szCs w:val="21"/>
                <w:lang w:eastAsia="zh-CN" w:bidi="ar-SA"/>
              </w:rPr>
              <w:t>7</w:t>
            </w:r>
            <w:r>
              <w:rPr>
                <w:rFonts w:hint="eastAsia" w:ascii="宋体" w:hAnsi="宋体" w:eastAsia="宋体" w:cs="宋体"/>
                <w:sz w:val="21"/>
                <w:szCs w:val="21"/>
                <w:lang w:eastAsia="zh-CN" w:bidi="ar-SA"/>
              </w:rPr>
              <w:t>、由于服务器使用的特殊性，供货商须无条件配合安装、配置国产操作系统及国产数据库，配合安装调试关于智能监测预警前置软件，直至满足业务系统使用为止。</w:t>
            </w:r>
          </w:p>
          <w:p>
            <w:pPr>
              <w:ind w:firstLine="413" w:firstLineChars="197"/>
              <w:rPr>
                <w:rFonts w:ascii="宋体" w:hAnsi="宋体" w:eastAsia="宋体" w:cs="宋体"/>
                <w:sz w:val="21"/>
                <w:szCs w:val="21"/>
                <w:lang w:eastAsia="zh-CN" w:bidi="ar-SA"/>
              </w:rPr>
            </w:pPr>
            <w:r>
              <w:rPr>
                <w:rFonts w:hint="eastAsia" w:ascii="宋体" w:hAnsi="宋体" w:eastAsia="宋体" w:cs="宋体"/>
                <w:sz w:val="21"/>
                <w:szCs w:val="21"/>
                <w:lang w:eastAsia="zh-CN" w:bidi="ar-SA"/>
              </w:rPr>
              <w:t>1</w:t>
            </w:r>
            <w:r>
              <w:rPr>
                <w:rFonts w:ascii="宋体" w:hAnsi="宋体" w:eastAsia="宋体" w:cs="宋体"/>
                <w:sz w:val="21"/>
                <w:szCs w:val="21"/>
                <w:lang w:eastAsia="zh-CN" w:bidi="ar-SA"/>
              </w:rPr>
              <w:t>8</w:t>
            </w:r>
            <w:r>
              <w:rPr>
                <w:rFonts w:hint="eastAsia" w:ascii="宋体" w:hAnsi="宋体" w:eastAsia="宋体" w:cs="宋体"/>
                <w:sz w:val="21"/>
                <w:szCs w:val="21"/>
                <w:lang w:eastAsia="zh-CN" w:bidi="ar-SA"/>
              </w:rPr>
              <w:t>、提供传染病业务数据全面对接及网络调试，同时做好网络安全保障工作，并与本院及分院的信息化系统对接兼容相关的技术服务，与省疾控局、国家疾控中心对接调试服务，直至满足业务系统使用为止。</w:t>
            </w:r>
          </w:p>
          <w:p>
            <w:pP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3</w:t>
            </w:r>
            <w:r>
              <w:rPr>
                <w:rFonts w:hint="eastAsia" w:ascii="宋体" w:hAnsi="宋体" w:eastAsia="宋体" w:cs="宋体"/>
                <w:b/>
                <w:bCs/>
                <w:color w:val="000000"/>
                <w:szCs w:val="21"/>
                <w:lang w:eastAsia="zh-CN"/>
              </w:rPr>
              <w:t>）安全要求</w:t>
            </w:r>
          </w:p>
          <w:p>
            <w:pPr>
              <w:ind w:firstLine="413" w:firstLineChars="197"/>
              <w:rPr>
                <w:rFonts w:ascii="仿宋" w:hAnsi="仿宋" w:eastAsia="仿宋" w:cs="宋体"/>
                <w:bCs/>
                <w:color w:val="000000"/>
                <w:sz w:val="21"/>
                <w:szCs w:val="21"/>
              </w:rPr>
            </w:pPr>
            <w:r>
              <w:rPr>
                <w:rFonts w:hint="eastAsia" w:ascii="宋体" w:hAnsi="宋体" w:eastAsia="宋体" w:cs="宋体"/>
                <w:sz w:val="21"/>
                <w:szCs w:val="21"/>
                <w:lang w:eastAsia="zh-CN" w:bidi="ar-SA"/>
              </w:rPr>
              <w:t>1</w:t>
            </w:r>
            <w:r>
              <w:rPr>
                <w:rFonts w:ascii="宋体" w:hAnsi="宋体" w:eastAsia="宋体" w:cs="宋体"/>
                <w:sz w:val="21"/>
                <w:szCs w:val="21"/>
                <w:lang w:eastAsia="zh-CN" w:bidi="ar-SA"/>
              </w:rPr>
              <w:t>9</w:t>
            </w:r>
            <w:r>
              <w:rPr>
                <w:rFonts w:hint="eastAsia" w:ascii="宋体" w:hAnsi="宋体" w:eastAsia="宋体" w:cs="宋体"/>
                <w:sz w:val="21"/>
                <w:szCs w:val="21"/>
                <w:lang w:eastAsia="zh-CN" w:bidi="ar-SA"/>
              </w:rPr>
              <w:t>、参考中国信息安全评测中心发布的《安全可靠测评结果公告（2023年第1号）》；</w:t>
            </w:r>
          </w:p>
          <w:p>
            <w:pPr>
              <w:rPr>
                <w:rFonts w:hint="eastAsia" w:ascii="宋体" w:hAnsi="宋体" w:eastAsia="宋体" w:cs="宋体"/>
                <w:b/>
                <w:bCs/>
                <w:color w:val="000000"/>
                <w:szCs w:val="21"/>
                <w:lang w:eastAsia="zh-CN"/>
              </w:rPr>
            </w:pPr>
            <w:r>
              <w:rPr>
                <w:rFonts w:hint="eastAsia" w:ascii="宋体" w:hAnsi="宋体" w:eastAsia="宋体" w:cs="宋体"/>
                <w:b/>
                <w:bCs/>
                <w:color w:val="000000"/>
                <w:szCs w:val="21"/>
                <w:lang w:eastAsia="zh-CN"/>
              </w:rPr>
              <w:t>（</w:t>
            </w:r>
            <w:r>
              <w:rPr>
                <w:rFonts w:hint="eastAsia" w:ascii="宋体" w:hAnsi="宋体" w:eastAsia="宋体" w:cs="宋体"/>
                <w:b/>
                <w:bCs/>
                <w:color w:val="000000"/>
                <w:szCs w:val="21"/>
                <w:lang w:val="en-US" w:eastAsia="zh-CN"/>
              </w:rPr>
              <w:t>4</w:t>
            </w:r>
            <w:r>
              <w:rPr>
                <w:rFonts w:hint="eastAsia" w:ascii="宋体" w:hAnsi="宋体" w:eastAsia="宋体" w:cs="宋体"/>
                <w:b/>
                <w:bCs/>
                <w:color w:val="000000"/>
                <w:szCs w:val="21"/>
                <w:lang w:eastAsia="zh-CN"/>
              </w:rPr>
              <w:t>）数字证书和配套密码产品</w:t>
            </w:r>
          </w:p>
          <w:p>
            <w:pPr>
              <w:ind w:firstLine="413" w:firstLineChars="197"/>
              <w:rPr>
                <w:rFonts w:hint="eastAsia" w:ascii="宋体" w:hAnsi="宋体" w:eastAsia="宋体" w:cs="宋体"/>
                <w:sz w:val="21"/>
                <w:szCs w:val="21"/>
                <w:lang w:eastAsia="zh-CN" w:bidi="ar-SA"/>
              </w:rPr>
            </w:pPr>
            <w:r>
              <w:rPr>
                <w:rFonts w:ascii="宋体" w:hAnsi="宋体" w:eastAsia="宋体" w:cs="宋体"/>
                <w:sz w:val="21"/>
                <w:szCs w:val="21"/>
                <w:lang w:eastAsia="zh-CN" w:bidi="ar-SA"/>
              </w:rPr>
              <w:t>20</w:t>
            </w:r>
            <w:r>
              <w:rPr>
                <w:rFonts w:hint="eastAsia" w:ascii="宋体" w:hAnsi="宋体" w:eastAsia="宋体" w:cs="宋体"/>
                <w:sz w:val="21"/>
                <w:szCs w:val="21"/>
                <w:lang w:eastAsia="zh-CN" w:bidi="ar-SA"/>
              </w:rPr>
              <w:t>、配置1张单位数字证书，应采用国密算法；单位数字证书应采用双证书即包含有签名证书和加密证书，分别用于数字签名及数据加密，所选用的数字证书（CA证书）应与现有传染病网络直报系统采用的CA证书兼容互认。</w:t>
            </w:r>
          </w:p>
          <w:p>
            <w:pPr>
              <w:rPr>
                <w:rFonts w:hint="default" w:ascii="宋体" w:hAnsi="宋体" w:eastAsia="宋体" w:cs="宋体"/>
                <w:b/>
                <w:bCs/>
                <w:color w:val="000000"/>
                <w:szCs w:val="21"/>
                <w:lang w:val="en-US" w:eastAsia="zh-CN"/>
              </w:rPr>
            </w:pPr>
          </w:p>
        </w:tc>
      </w:tr>
    </w:tbl>
    <w:p>
      <w:pPr>
        <w:pStyle w:val="70"/>
        <w:numPr>
          <w:ilvl w:val="0"/>
          <w:numId w:val="1"/>
        </w:numPr>
        <w:spacing w:line="360" w:lineRule="auto"/>
        <w:outlineLvl w:val="0"/>
        <w:rPr>
          <w:rFonts w:ascii="宋体" w:hAnsi="宋体"/>
          <w:b/>
          <w:color w:val="000000"/>
          <w:szCs w:val="21"/>
        </w:rPr>
      </w:pPr>
      <w:r>
        <w:rPr>
          <w:rFonts w:hint="eastAsia" w:ascii="宋体" w:hAnsi="宋体" w:eastAsia="宋体" w:cs="宋体"/>
          <w:b/>
          <w:color w:val="000000" w:themeColor="text1"/>
          <w:lang w:eastAsia="zh-CN"/>
        </w:rPr>
        <w:t>商务要求</w:t>
      </w:r>
      <w:r>
        <w:rPr>
          <w:rFonts w:ascii="宋体" w:hAnsi="宋体"/>
          <w:b/>
          <w:color w:val="000000"/>
          <w:szCs w:val="21"/>
        </w:rPr>
        <w:t xml:space="preserve"> </w:t>
      </w:r>
    </w:p>
    <w:p>
      <w:pPr>
        <w:pStyle w:val="51"/>
        <w:ind w:firstLine="236" w:firstLineChars="98"/>
        <w:rPr>
          <w:rFonts w:ascii="宋体" w:hAnsi="宋体" w:eastAsia="宋体"/>
          <w:b/>
          <w:lang w:eastAsia="zh-CN"/>
        </w:rPr>
      </w:pPr>
      <w:r>
        <w:rPr>
          <w:rFonts w:hint="eastAsia" w:ascii="宋体" w:hAnsi="宋体" w:eastAsia="宋体"/>
          <w:b/>
          <w:lang w:eastAsia="zh-CN"/>
        </w:rPr>
        <w:t>1．供货要求：</w:t>
      </w:r>
    </w:p>
    <w:p>
      <w:pPr>
        <w:pStyle w:val="15"/>
        <w:spacing w:line="360" w:lineRule="auto"/>
        <w:ind w:left="120" w:leftChars="50" w:right="335" w:firstLine="420" w:firstLineChars="20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1</w:t>
      </w:r>
      <w:r>
        <w:rPr>
          <w:rFonts w:ascii="宋体" w:hAnsi="宋体" w:eastAsia="宋体" w:cs="Times New Roman"/>
          <w:kern w:val="2"/>
          <w:sz w:val="21"/>
          <w:szCs w:val="21"/>
          <w:lang w:eastAsia="zh-CN" w:bidi="ar-SA"/>
        </w:rPr>
        <w:t>.1</w:t>
      </w:r>
      <w:r>
        <w:rPr>
          <w:rFonts w:hint="eastAsia" w:ascii="宋体" w:hAnsi="宋体" w:eastAsia="宋体" w:cs="Times New Roman"/>
          <w:kern w:val="2"/>
          <w:sz w:val="21"/>
          <w:szCs w:val="21"/>
          <w:lang w:eastAsia="zh-CN" w:bidi="ar-SA"/>
        </w:rPr>
        <w:t>投标人必须承诺所提供产品符合国家或行业标准，以及用户提出的有关应用需求，且不存在第三方侵权行为。</w:t>
      </w:r>
    </w:p>
    <w:p>
      <w:pPr>
        <w:pStyle w:val="15"/>
        <w:spacing w:line="360" w:lineRule="auto"/>
        <w:ind w:left="120" w:leftChars="50" w:right="335" w:firstLine="420" w:firstLineChars="20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1</w:t>
      </w:r>
      <w:r>
        <w:rPr>
          <w:rFonts w:ascii="宋体" w:hAnsi="宋体" w:eastAsia="宋体" w:cs="Times New Roman"/>
          <w:kern w:val="2"/>
          <w:sz w:val="21"/>
          <w:szCs w:val="21"/>
          <w:lang w:eastAsia="zh-CN" w:bidi="ar-SA"/>
        </w:rPr>
        <w:t>.2投标人应</w:t>
      </w:r>
      <w:r>
        <w:rPr>
          <w:rFonts w:hint="eastAsia" w:ascii="宋体" w:hAnsi="宋体" w:eastAsia="宋体" w:cs="Times New Roman"/>
          <w:kern w:val="2"/>
          <w:sz w:val="21"/>
          <w:szCs w:val="21"/>
          <w:lang w:eastAsia="zh-CN" w:bidi="ar-SA"/>
        </w:rPr>
        <w:t>具备本项目的建设服务能力，</w:t>
      </w:r>
      <w:r>
        <w:rPr>
          <w:rFonts w:ascii="宋体" w:hAnsi="宋体" w:eastAsia="宋体" w:cs="Times New Roman"/>
          <w:kern w:val="2"/>
          <w:sz w:val="21"/>
          <w:szCs w:val="21"/>
          <w:lang w:eastAsia="zh-CN" w:bidi="ar-SA"/>
        </w:rPr>
        <w:t>投入具备相应资质、经验的技术服务团队和工程师</w:t>
      </w:r>
      <w:r>
        <w:rPr>
          <w:rFonts w:hint="eastAsia" w:ascii="宋体" w:hAnsi="宋体" w:eastAsia="宋体" w:cs="Times New Roman"/>
          <w:kern w:val="2"/>
          <w:sz w:val="21"/>
          <w:szCs w:val="21"/>
          <w:lang w:eastAsia="zh-CN" w:bidi="ar-SA"/>
        </w:rPr>
        <w:t>，并按照医院要求完成相应的接口改造。</w:t>
      </w:r>
    </w:p>
    <w:p>
      <w:pPr>
        <w:pStyle w:val="51"/>
        <w:ind w:firstLine="236" w:firstLineChars="98"/>
        <w:rPr>
          <w:rFonts w:ascii="宋体" w:hAnsi="宋体" w:eastAsia="宋体"/>
          <w:b/>
          <w:lang w:eastAsia="zh-CN"/>
        </w:rPr>
      </w:pPr>
      <w:r>
        <w:rPr>
          <w:rFonts w:ascii="宋体" w:hAnsi="宋体" w:eastAsia="宋体"/>
          <w:b/>
          <w:lang w:eastAsia="zh-CN"/>
        </w:rPr>
        <w:t>2</w:t>
      </w:r>
      <w:r>
        <w:rPr>
          <w:rFonts w:hint="eastAsia" w:ascii="宋体" w:hAnsi="宋体" w:eastAsia="宋体"/>
          <w:b/>
          <w:lang w:eastAsia="zh-CN"/>
        </w:rPr>
        <w:t>．工期要求：</w:t>
      </w:r>
    </w:p>
    <w:p>
      <w:pPr>
        <w:pStyle w:val="15"/>
        <w:spacing w:line="360" w:lineRule="auto"/>
        <w:ind w:left="119" w:right="335" w:firstLine="420" w:firstLineChars="20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按</w:t>
      </w:r>
      <w:r>
        <w:rPr>
          <w:rFonts w:hint="eastAsia" w:ascii="宋体" w:hAnsi="宋体" w:eastAsia="宋体" w:cs="宋体"/>
          <w:sz w:val="21"/>
          <w:szCs w:val="21"/>
          <w:lang w:eastAsia="zh-CN"/>
        </w:rPr>
        <w:t>国家传染病智能监测预警平台对接</w:t>
      </w:r>
      <w:r>
        <w:rPr>
          <w:rFonts w:hint="eastAsia" w:ascii="宋体" w:hAnsi="宋体" w:eastAsia="宋体" w:cs="Times New Roman"/>
          <w:kern w:val="2"/>
          <w:sz w:val="21"/>
          <w:szCs w:val="21"/>
          <w:lang w:eastAsia="zh-CN" w:bidi="ar-SA"/>
        </w:rPr>
        <w:t>改造要求，</w:t>
      </w:r>
      <w:r>
        <w:rPr>
          <w:rFonts w:hint="eastAsia" w:ascii="宋体" w:hAnsi="宋体" w:eastAsia="宋体"/>
          <w:sz w:val="21"/>
          <w:szCs w:val="21"/>
          <w:lang w:eastAsia="zh-CN"/>
        </w:rPr>
        <w:t>2024年12月31号前</w:t>
      </w:r>
      <w:r>
        <w:rPr>
          <w:rFonts w:hint="eastAsia" w:ascii="宋体" w:hAnsi="宋体" w:eastAsia="宋体" w:cs="Times New Roman"/>
          <w:kern w:val="2"/>
          <w:sz w:val="21"/>
          <w:szCs w:val="21"/>
          <w:lang w:eastAsia="zh-CN" w:bidi="ar-SA"/>
        </w:rPr>
        <w:t>完成软件系统功能升级部署、平台接口定制开发、调试，并完成对使用单位相关人员的操作与使用培训。</w:t>
      </w:r>
    </w:p>
    <w:p>
      <w:pPr>
        <w:pStyle w:val="15"/>
        <w:spacing w:line="360" w:lineRule="auto"/>
        <w:ind w:right="335" w:firstLine="241" w:firstLineChars="100"/>
        <w:jc w:val="both"/>
        <w:rPr>
          <w:rFonts w:ascii="Calibri" w:hAnsi="Calibri" w:eastAsia="宋体" w:cs="Times New Roman"/>
          <w:kern w:val="2"/>
          <w:szCs w:val="21"/>
          <w:lang w:eastAsia="zh-CN" w:bidi="ar-SA"/>
        </w:rPr>
      </w:pPr>
      <w:r>
        <w:rPr>
          <w:rFonts w:ascii="宋体" w:hAnsi="宋体" w:eastAsia="宋体" w:cs="Times New Roman"/>
          <w:b/>
          <w:lang w:eastAsia="zh-CN"/>
        </w:rPr>
        <w:t>3</w:t>
      </w:r>
      <w:r>
        <w:rPr>
          <w:rFonts w:hint="eastAsia" w:ascii="宋体" w:hAnsi="宋体" w:eastAsia="宋体" w:cs="Times New Roman"/>
          <w:b/>
          <w:lang w:eastAsia="zh-CN"/>
        </w:rPr>
        <w:t>．交货地点：</w:t>
      </w:r>
      <w:r>
        <w:rPr>
          <w:rFonts w:hint="eastAsia" w:ascii="宋体" w:hAnsi="宋体" w:eastAsia="宋体" w:cs="Times New Roman"/>
          <w:kern w:val="2"/>
          <w:sz w:val="21"/>
          <w:szCs w:val="21"/>
          <w:lang w:eastAsia="zh-CN" w:bidi="ar-SA"/>
        </w:rPr>
        <w:t>惠州市中大惠亚医院</w:t>
      </w:r>
    </w:p>
    <w:p>
      <w:pPr>
        <w:pStyle w:val="51"/>
        <w:ind w:firstLine="236" w:firstLineChars="98"/>
        <w:rPr>
          <w:rFonts w:ascii="宋体" w:hAnsi="宋体" w:eastAsia="宋体"/>
          <w:b/>
          <w:lang w:eastAsia="zh-CN"/>
        </w:rPr>
      </w:pPr>
      <w:r>
        <w:rPr>
          <w:rFonts w:ascii="宋体" w:hAnsi="宋体" w:eastAsia="宋体"/>
          <w:b/>
          <w:lang w:eastAsia="zh-CN"/>
        </w:rPr>
        <w:t>4</w:t>
      </w:r>
      <w:r>
        <w:rPr>
          <w:rFonts w:hint="eastAsia" w:ascii="宋体" w:hAnsi="宋体" w:eastAsia="宋体"/>
          <w:b/>
          <w:lang w:eastAsia="zh-CN"/>
        </w:rPr>
        <w:t>．验收要求：</w:t>
      </w:r>
    </w:p>
    <w:p>
      <w:pPr>
        <w:pStyle w:val="15"/>
        <w:spacing w:line="360" w:lineRule="auto"/>
        <w:ind w:right="335" w:firstLine="525" w:firstLineChars="2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4</w:t>
      </w:r>
      <w:r>
        <w:rPr>
          <w:rFonts w:ascii="宋体" w:hAnsi="宋体" w:eastAsia="宋体" w:cs="Times New Roman"/>
          <w:kern w:val="2"/>
          <w:sz w:val="21"/>
          <w:szCs w:val="21"/>
          <w:lang w:eastAsia="zh-CN" w:bidi="ar-SA"/>
        </w:rPr>
        <w:t>.1</w:t>
      </w:r>
      <w:r>
        <w:rPr>
          <w:rFonts w:hint="eastAsia" w:ascii="宋体" w:hAnsi="宋体" w:eastAsia="宋体" w:cs="Times New Roman"/>
          <w:kern w:val="2"/>
          <w:sz w:val="21"/>
          <w:szCs w:val="21"/>
          <w:lang w:eastAsia="zh-CN" w:bidi="ar-SA"/>
        </w:rPr>
        <w:t>项目完工后，采购人应组织验收工作。</w:t>
      </w:r>
    </w:p>
    <w:p>
      <w:pPr>
        <w:pStyle w:val="15"/>
        <w:spacing w:line="360" w:lineRule="auto"/>
        <w:ind w:right="335" w:firstLine="525" w:firstLineChars="250"/>
        <w:jc w:val="both"/>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4.2项目完工后，应按《惠州市推进国家传染病智能监测预警前置软件部署工作方案》要求完成医院所需的传染病智能监测预警对接的全部需求。</w:t>
      </w:r>
    </w:p>
    <w:p>
      <w:pPr>
        <w:pStyle w:val="15"/>
        <w:spacing w:line="360" w:lineRule="auto"/>
        <w:ind w:right="335" w:firstLine="420" w:firstLineChars="20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 xml:space="preserve"> 4</w:t>
      </w:r>
      <w:r>
        <w:rPr>
          <w:rFonts w:ascii="宋体" w:hAnsi="宋体" w:eastAsia="宋体" w:cs="Times New Roman"/>
          <w:kern w:val="2"/>
          <w:sz w:val="21"/>
          <w:szCs w:val="21"/>
          <w:lang w:eastAsia="zh-CN" w:bidi="ar-SA"/>
        </w:rPr>
        <w:t>.</w:t>
      </w:r>
      <w:r>
        <w:rPr>
          <w:rFonts w:hint="eastAsia" w:ascii="宋体" w:hAnsi="宋体" w:eastAsia="宋体" w:cs="Times New Roman"/>
          <w:kern w:val="2"/>
          <w:sz w:val="21"/>
          <w:szCs w:val="21"/>
          <w:lang w:val="en-US" w:eastAsia="zh-CN" w:bidi="ar-SA"/>
        </w:rPr>
        <w:t>3</w:t>
      </w:r>
      <w:r>
        <w:rPr>
          <w:rFonts w:hint="eastAsia" w:ascii="宋体" w:hAnsi="宋体" w:eastAsia="宋体" w:cs="Times New Roman"/>
          <w:kern w:val="2"/>
          <w:sz w:val="21"/>
          <w:szCs w:val="21"/>
          <w:lang w:eastAsia="zh-CN" w:bidi="ar-SA"/>
        </w:rPr>
        <w:t>中标供应商应负责在项目验收时将系统的全部有关产品说明书、原厂家安装手册、技术文件、资料、及安装、验收报告等文档汇集成册交付设备使用单位。</w:t>
      </w:r>
    </w:p>
    <w:p>
      <w:pPr>
        <w:widowControl w:val="0"/>
        <w:ind w:firstLine="241" w:firstLineChars="100"/>
        <w:jc w:val="both"/>
        <w:rPr>
          <w:rFonts w:ascii="宋体" w:hAnsi="宋体" w:eastAsia="宋体"/>
          <w:b/>
          <w:lang w:eastAsia="zh-CN"/>
        </w:rPr>
      </w:pPr>
      <w:r>
        <w:rPr>
          <w:rFonts w:ascii="宋体" w:hAnsi="宋体" w:eastAsia="宋体"/>
          <w:b/>
          <w:lang w:eastAsia="zh-CN"/>
        </w:rPr>
        <w:t>5</w:t>
      </w:r>
      <w:r>
        <w:rPr>
          <w:rFonts w:hint="eastAsia" w:ascii="宋体" w:hAnsi="宋体" w:eastAsia="宋体"/>
          <w:b/>
          <w:lang w:eastAsia="zh-CN"/>
        </w:rPr>
        <w:t>．响应时间：</w:t>
      </w:r>
    </w:p>
    <w:p>
      <w:pPr>
        <w:pStyle w:val="15"/>
        <w:spacing w:line="360" w:lineRule="auto"/>
        <w:ind w:right="335" w:firstLine="525" w:firstLineChars="25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提供7×24小时电话技术支持，软件故障报修的响应时间：</w:t>
      </w:r>
      <w:r>
        <w:rPr>
          <w:rFonts w:ascii="宋体" w:hAnsi="宋体" w:eastAsia="宋体" w:cs="Times New Roman"/>
          <w:kern w:val="2"/>
          <w:sz w:val="21"/>
          <w:szCs w:val="21"/>
          <w:lang w:eastAsia="zh-CN" w:bidi="ar-SA"/>
        </w:rPr>
        <w:t>1</w:t>
      </w:r>
      <w:r>
        <w:rPr>
          <w:rFonts w:hint="eastAsia" w:ascii="宋体" w:hAnsi="宋体" w:eastAsia="宋体" w:cs="Times New Roman"/>
          <w:kern w:val="2"/>
          <w:sz w:val="21"/>
          <w:szCs w:val="21"/>
          <w:lang w:eastAsia="zh-CN" w:bidi="ar-SA"/>
        </w:rPr>
        <w:t>小时，若电话中无法解决，</w:t>
      </w:r>
      <w:r>
        <w:rPr>
          <w:rFonts w:ascii="宋体" w:hAnsi="宋体" w:eastAsia="宋体" w:cs="Times New Roman"/>
          <w:kern w:val="2"/>
          <w:sz w:val="21"/>
          <w:szCs w:val="21"/>
          <w:lang w:eastAsia="zh-CN" w:bidi="ar-SA"/>
        </w:rPr>
        <w:t>4</w:t>
      </w:r>
      <w:r>
        <w:rPr>
          <w:rFonts w:hint="eastAsia" w:ascii="宋体" w:hAnsi="宋体" w:eastAsia="宋体" w:cs="Times New Roman"/>
          <w:kern w:val="2"/>
          <w:sz w:val="21"/>
          <w:szCs w:val="21"/>
          <w:lang w:eastAsia="zh-CN" w:bidi="ar-SA"/>
        </w:rPr>
        <w:t>小时内到达现场进行维护。除特殊情况外，故障排除时间不超过24小时。</w:t>
      </w:r>
    </w:p>
    <w:p>
      <w:pPr>
        <w:widowControl w:val="0"/>
        <w:ind w:firstLine="241" w:firstLineChars="100"/>
        <w:jc w:val="both"/>
        <w:rPr>
          <w:rFonts w:ascii="宋体" w:hAnsi="宋体" w:eastAsia="宋体"/>
          <w:b/>
          <w:lang w:eastAsia="zh-CN"/>
        </w:rPr>
      </w:pPr>
      <w:r>
        <w:rPr>
          <w:rFonts w:ascii="宋体" w:hAnsi="宋体" w:eastAsia="宋体"/>
          <w:b/>
          <w:lang w:eastAsia="zh-CN"/>
        </w:rPr>
        <w:t>6</w:t>
      </w:r>
      <w:r>
        <w:rPr>
          <w:rFonts w:hint="eastAsia" w:ascii="宋体" w:hAnsi="宋体" w:eastAsia="宋体"/>
          <w:b/>
          <w:lang w:eastAsia="zh-CN"/>
        </w:rPr>
        <w:t>．售后服务要求：</w:t>
      </w:r>
    </w:p>
    <w:p>
      <w:pPr>
        <w:pStyle w:val="15"/>
        <w:spacing w:line="360" w:lineRule="auto"/>
        <w:ind w:right="335" w:firstLine="525" w:firstLineChars="25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6</w:t>
      </w:r>
      <w:r>
        <w:rPr>
          <w:rFonts w:ascii="宋体" w:hAnsi="宋体" w:eastAsia="宋体" w:cs="Times New Roman"/>
          <w:kern w:val="2"/>
          <w:sz w:val="21"/>
          <w:szCs w:val="21"/>
          <w:lang w:eastAsia="zh-CN" w:bidi="ar-SA"/>
        </w:rPr>
        <w:t xml:space="preserve">.1 </w:t>
      </w:r>
      <w:r>
        <w:rPr>
          <w:rFonts w:hint="eastAsia" w:ascii="宋体" w:hAnsi="宋体" w:eastAsia="宋体" w:cs="Times New Roman"/>
          <w:kern w:val="2"/>
          <w:sz w:val="21"/>
          <w:szCs w:val="21"/>
          <w:lang w:eastAsia="zh-CN" w:bidi="ar-SA"/>
        </w:rPr>
        <w:t>免费维护期期限：软件免费维护期期限为验收之日起1年，硬件为原厂质保期限。</w:t>
      </w:r>
    </w:p>
    <w:p>
      <w:pPr>
        <w:pStyle w:val="15"/>
        <w:spacing w:line="360" w:lineRule="auto"/>
        <w:ind w:right="335" w:firstLine="525" w:firstLineChars="25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6</w:t>
      </w:r>
      <w:r>
        <w:rPr>
          <w:rFonts w:ascii="宋体" w:hAnsi="宋体" w:eastAsia="宋体" w:cs="Times New Roman"/>
          <w:kern w:val="2"/>
          <w:sz w:val="21"/>
          <w:szCs w:val="21"/>
          <w:lang w:eastAsia="zh-CN" w:bidi="ar-SA"/>
        </w:rPr>
        <w:t xml:space="preserve">.2 </w:t>
      </w:r>
      <w:r>
        <w:rPr>
          <w:rFonts w:hint="eastAsia" w:ascii="宋体" w:hAnsi="宋体" w:eastAsia="宋体" w:cs="Times New Roman"/>
          <w:kern w:val="2"/>
          <w:sz w:val="21"/>
          <w:szCs w:val="21"/>
          <w:lang w:eastAsia="zh-CN" w:bidi="ar-SA"/>
        </w:rPr>
        <w:t>质保期自双方代表在软件及设备安装调试后的验收证明文件上签字之日起计算，具体按国家或行业有关标准由买卖双方在合同中约定。维护期后，如采购人要求，中标人应长期负责有偿维护和升级。</w:t>
      </w:r>
    </w:p>
    <w:p>
      <w:pPr>
        <w:pStyle w:val="15"/>
        <w:spacing w:line="360" w:lineRule="auto"/>
        <w:ind w:right="335" w:firstLine="525" w:firstLineChars="25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6</w:t>
      </w:r>
      <w:r>
        <w:rPr>
          <w:rFonts w:ascii="宋体" w:hAnsi="宋体" w:eastAsia="宋体" w:cs="Times New Roman"/>
          <w:kern w:val="2"/>
          <w:sz w:val="21"/>
          <w:szCs w:val="21"/>
          <w:lang w:eastAsia="zh-CN" w:bidi="ar-SA"/>
        </w:rPr>
        <w:t xml:space="preserve">.3 </w:t>
      </w:r>
      <w:r>
        <w:rPr>
          <w:rFonts w:hint="eastAsia" w:ascii="宋体" w:hAnsi="宋体" w:eastAsia="宋体" w:cs="Times New Roman"/>
          <w:kern w:val="2"/>
          <w:sz w:val="21"/>
          <w:szCs w:val="21"/>
          <w:lang w:eastAsia="zh-CN" w:bidi="ar-SA"/>
        </w:rPr>
        <w:t>维护期内，所有软硬件服务均为上门服务，由此产生的费用均不再收取。</w:t>
      </w:r>
    </w:p>
    <w:p>
      <w:pPr>
        <w:widowControl w:val="0"/>
        <w:ind w:firstLine="241" w:firstLineChars="100"/>
        <w:jc w:val="both"/>
        <w:rPr>
          <w:rFonts w:ascii="宋体" w:hAnsi="宋体" w:eastAsia="宋体"/>
          <w:b/>
          <w:lang w:eastAsia="zh-CN"/>
        </w:rPr>
      </w:pPr>
      <w:r>
        <w:rPr>
          <w:rFonts w:ascii="宋体" w:hAnsi="宋体" w:eastAsia="宋体"/>
          <w:b/>
          <w:lang w:eastAsia="zh-CN"/>
        </w:rPr>
        <w:t>7</w:t>
      </w:r>
      <w:r>
        <w:rPr>
          <w:rFonts w:hint="eastAsia" w:ascii="宋体" w:hAnsi="宋体" w:eastAsia="宋体"/>
          <w:b/>
          <w:lang w:eastAsia="zh-CN"/>
        </w:rPr>
        <w:t>．培训要求：</w:t>
      </w:r>
    </w:p>
    <w:p>
      <w:pPr>
        <w:pStyle w:val="15"/>
        <w:spacing w:line="360" w:lineRule="auto"/>
        <w:ind w:right="335" w:firstLine="525" w:firstLineChars="25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7</w:t>
      </w:r>
      <w:r>
        <w:rPr>
          <w:rFonts w:ascii="宋体" w:hAnsi="宋体" w:eastAsia="宋体" w:cs="Times New Roman"/>
          <w:kern w:val="2"/>
          <w:sz w:val="21"/>
          <w:szCs w:val="21"/>
          <w:lang w:eastAsia="zh-CN" w:bidi="ar-SA"/>
        </w:rPr>
        <w:t xml:space="preserve">.1 </w:t>
      </w:r>
      <w:r>
        <w:rPr>
          <w:rFonts w:hint="eastAsia" w:ascii="宋体" w:hAnsi="宋体" w:eastAsia="宋体" w:cs="Times New Roman"/>
          <w:kern w:val="2"/>
          <w:sz w:val="21"/>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pPr>
        <w:pStyle w:val="15"/>
        <w:spacing w:line="360" w:lineRule="auto"/>
        <w:ind w:right="335" w:firstLine="525" w:firstLineChars="25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7</w:t>
      </w:r>
      <w:r>
        <w:rPr>
          <w:rFonts w:ascii="宋体" w:hAnsi="宋体" w:eastAsia="宋体" w:cs="Times New Roman"/>
          <w:kern w:val="2"/>
          <w:sz w:val="21"/>
          <w:szCs w:val="21"/>
          <w:lang w:eastAsia="zh-CN" w:bidi="ar-SA"/>
        </w:rPr>
        <w:t xml:space="preserve">.2 </w:t>
      </w:r>
      <w:r>
        <w:rPr>
          <w:rFonts w:hint="eastAsia" w:ascii="宋体" w:hAnsi="宋体" w:eastAsia="宋体" w:cs="Times New Roman"/>
          <w:kern w:val="2"/>
          <w:sz w:val="21"/>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pPr>
        <w:widowControl w:val="0"/>
        <w:spacing w:line="360" w:lineRule="auto"/>
        <w:ind w:firstLine="241" w:firstLineChars="100"/>
        <w:jc w:val="both"/>
        <w:rPr>
          <w:rFonts w:ascii="宋体" w:hAnsi="宋体" w:eastAsia="宋体"/>
          <w:kern w:val="2"/>
          <w:sz w:val="21"/>
          <w:szCs w:val="21"/>
          <w:lang w:eastAsia="zh-CN" w:bidi="ar-SA"/>
        </w:rPr>
      </w:pPr>
      <w:r>
        <w:rPr>
          <w:rFonts w:ascii="宋体" w:hAnsi="宋体" w:eastAsia="宋体"/>
          <w:b/>
          <w:lang w:eastAsia="zh-CN"/>
        </w:rPr>
        <w:t>8</w:t>
      </w:r>
      <w:r>
        <w:rPr>
          <w:rFonts w:hint="eastAsia" w:ascii="宋体" w:hAnsi="宋体" w:eastAsia="宋体"/>
          <w:b/>
          <w:lang w:eastAsia="zh-CN"/>
        </w:rPr>
        <w:t>．报价要求：</w:t>
      </w:r>
      <w:r>
        <w:rPr>
          <w:rFonts w:hint="eastAsia" w:ascii="宋体" w:hAnsi="宋体" w:eastAsia="宋体"/>
          <w:kern w:val="2"/>
          <w:sz w:val="21"/>
          <w:szCs w:val="21"/>
          <w:lang w:eastAsia="zh-CN" w:bidi="ar-SA"/>
        </w:rPr>
        <w:t>投标人报价中必须包括项目全部内容的费用（开发、调试、验收、税金等）。</w:t>
      </w:r>
    </w:p>
    <w:p>
      <w:pPr>
        <w:widowControl w:val="0"/>
        <w:spacing w:line="360" w:lineRule="auto"/>
        <w:ind w:firstLine="241" w:firstLineChars="100"/>
        <w:jc w:val="both"/>
        <w:rPr>
          <w:rFonts w:ascii="宋体" w:hAnsi="宋体" w:eastAsia="宋体"/>
          <w:b/>
          <w:lang w:eastAsia="zh-CN"/>
        </w:rPr>
      </w:pPr>
      <w:r>
        <w:rPr>
          <w:rFonts w:ascii="宋体" w:hAnsi="宋体" w:eastAsia="宋体"/>
          <w:b/>
          <w:lang w:eastAsia="zh-CN"/>
        </w:rPr>
        <w:t>9</w:t>
      </w:r>
      <w:r>
        <w:rPr>
          <w:rFonts w:hint="eastAsia" w:ascii="宋体" w:hAnsi="宋体" w:eastAsia="宋体"/>
          <w:b/>
          <w:lang w:eastAsia="zh-CN"/>
        </w:rPr>
        <w:t>．付款方式：</w:t>
      </w:r>
    </w:p>
    <w:p>
      <w:pPr>
        <w:pStyle w:val="15"/>
        <w:spacing w:line="360" w:lineRule="auto"/>
        <w:ind w:right="335" w:firstLine="525" w:firstLineChars="250"/>
        <w:jc w:val="both"/>
        <w:rPr>
          <w:rFonts w:hint="eastAsia" w:ascii="宋体" w:hAnsi="宋体" w:eastAsia="宋体" w:cs="Times New Roman"/>
          <w:kern w:val="2"/>
          <w:sz w:val="21"/>
          <w:szCs w:val="21"/>
          <w:lang w:eastAsia="zh-CN" w:bidi="ar-SA"/>
        </w:rPr>
      </w:pPr>
      <w:bookmarkStart w:id="3" w:name="_Hlk508984413"/>
      <w:r>
        <w:rPr>
          <w:rFonts w:hint="eastAsia" w:ascii="宋体" w:hAnsi="宋体" w:eastAsia="宋体" w:cs="Times New Roman"/>
          <w:kern w:val="2"/>
          <w:sz w:val="21"/>
          <w:szCs w:val="21"/>
          <w:lang w:eastAsia="zh-CN" w:bidi="ar-SA"/>
        </w:rPr>
        <w:t>9</w:t>
      </w:r>
      <w:r>
        <w:rPr>
          <w:rFonts w:ascii="宋体" w:hAnsi="宋体" w:eastAsia="宋体" w:cs="Times New Roman"/>
          <w:kern w:val="2"/>
          <w:sz w:val="21"/>
          <w:szCs w:val="21"/>
          <w:lang w:eastAsia="zh-CN" w:bidi="ar-SA"/>
        </w:rPr>
        <w:t xml:space="preserve">.1 </w:t>
      </w:r>
      <w:r>
        <w:rPr>
          <w:rFonts w:hint="eastAsia" w:ascii="宋体" w:hAnsi="宋体" w:eastAsia="宋体" w:cs="Times New Roman"/>
          <w:kern w:val="2"/>
          <w:sz w:val="21"/>
          <w:szCs w:val="21"/>
          <w:lang w:eastAsia="zh-CN" w:bidi="ar-SA"/>
        </w:rPr>
        <w:t>合同签订后，10个工作日内，凭投标人开具的有效发票，采购人向投标人支付合同金额的</w:t>
      </w:r>
      <w:r>
        <w:rPr>
          <w:rFonts w:hint="eastAsia" w:ascii="宋体" w:hAnsi="宋体" w:eastAsia="宋体" w:cs="Times New Roman"/>
          <w:kern w:val="2"/>
          <w:sz w:val="21"/>
          <w:szCs w:val="21"/>
          <w:lang w:val="en-US" w:eastAsia="zh-CN" w:bidi="ar-SA"/>
        </w:rPr>
        <w:t>50</w:t>
      </w:r>
      <w:r>
        <w:rPr>
          <w:rFonts w:hint="eastAsia" w:ascii="宋体" w:hAnsi="宋体" w:eastAsia="宋体" w:cs="Times New Roman"/>
          <w:kern w:val="2"/>
          <w:sz w:val="21"/>
          <w:szCs w:val="21"/>
          <w:lang w:eastAsia="zh-CN" w:bidi="ar-SA"/>
        </w:rPr>
        <w:t>%；</w:t>
      </w:r>
    </w:p>
    <w:p>
      <w:pPr>
        <w:pStyle w:val="15"/>
        <w:spacing w:line="360" w:lineRule="auto"/>
        <w:ind w:right="335" w:firstLine="525" w:firstLineChars="250"/>
        <w:jc w:val="both"/>
        <w:rPr>
          <w:rFonts w:hint="eastAsia"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9</w:t>
      </w:r>
      <w:r>
        <w:rPr>
          <w:rFonts w:ascii="宋体" w:hAnsi="宋体" w:eastAsia="宋体" w:cs="Times New Roman"/>
          <w:kern w:val="2"/>
          <w:sz w:val="21"/>
          <w:szCs w:val="21"/>
          <w:lang w:eastAsia="zh-CN" w:bidi="ar-SA"/>
        </w:rPr>
        <w:t xml:space="preserve">.1 </w:t>
      </w:r>
      <w:r>
        <w:rPr>
          <w:rFonts w:hint="eastAsia" w:ascii="宋体" w:hAnsi="宋体" w:eastAsia="宋体" w:cs="Times New Roman"/>
          <w:kern w:val="2"/>
          <w:sz w:val="21"/>
          <w:szCs w:val="21"/>
          <w:lang w:eastAsia="zh-CN" w:bidi="ar-SA"/>
        </w:rPr>
        <w:t>项目完成实施后，经上线、试运行验收合格，10个工作日内，凭投标人开具的有效发票和验收资料文档，采购人方向投标人支付合同金额的</w:t>
      </w:r>
      <w:r>
        <w:rPr>
          <w:rFonts w:hint="eastAsia" w:ascii="宋体" w:hAnsi="宋体" w:eastAsia="宋体" w:cs="Times New Roman"/>
          <w:kern w:val="2"/>
          <w:sz w:val="21"/>
          <w:szCs w:val="21"/>
          <w:lang w:val="en-US" w:eastAsia="zh-CN" w:bidi="ar-SA"/>
        </w:rPr>
        <w:t>50</w:t>
      </w:r>
      <w:r>
        <w:rPr>
          <w:rFonts w:hint="eastAsia" w:ascii="宋体" w:hAnsi="宋体" w:eastAsia="宋体" w:cs="Times New Roman"/>
          <w:kern w:val="2"/>
          <w:sz w:val="21"/>
          <w:szCs w:val="21"/>
          <w:lang w:eastAsia="zh-CN" w:bidi="ar-SA"/>
        </w:rPr>
        <w:t>%。</w:t>
      </w:r>
    </w:p>
    <w:bookmarkEnd w:id="3"/>
    <w:p>
      <w:pPr>
        <w:pStyle w:val="15"/>
        <w:spacing w:line="360" w:lineRule="auto"/>
        <w:ind w:right="335" w:firstLine="525" w:firstLineChars="25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9</w:t>
      </w:r>
      <w:r>
        <w:rPr>
          <w:rFonts w:ascii="宋体" w:hAnsi="宋体" w:eastAsia="宋体" w:cs="Times New Roman"/>
          <w:kern w:val="2"/>
          <w:sz w:val="21"/>
          <w:szCs w:val="21"/>
          <w:lang w:eastAsia="zh-CN" w:bidi="ar-SA"/>
        </w:rPr>
        <w:t>.</w:t>
      </w:r>
      <w:r>
        <w:rPr>
          <w:rFonts w:hint="eastAsia" w:ascii="宋体" w:hAnsi="宋体" w:eastAsia="宋体" w:cs="Times New Roman"/>
          <w:kern w:val="2"/>
          <w:sz w:val="21"/>
          <w:szCs w:val="21"/>
          <w:lang w:eastAsia="zh-CN" w:bidi="ar-SA"/>
        </w:rPr>
        <w:t>2</w:t>
      </w:r>
      <w:r>
        <w:rPr>
          <w:rFonts w:ascii="宋体" w:hAnsi="宋体" w:eastAsia="宋体" w:cs="Times New Roman"/>
          <w:kern w:val="2"/>
          <w:sz w:val="21"/>
          <w:szCs w:val="21"/>
          <w:lang w:eastAsia="zh-CN" w:bidi="ar-SA"/>
        </w:rPr>
        <w:t xml:space="preserve"> </w:t>
      </w:r>
      <w:r>
        <w:rPr>
          <w:rFonts w:hint="eastAsia" w:ascii="宋体" w:hAnsi="宋体" w:eastAsia="宋体" w:cs="Times New Roman"/>
          <w:kern w:val="2"/>
          <w:sz w:val="21"/>
          <w:szCs w:val="21"/>
          <w:lang w:eastAsia="zh-CN" w:bidi="ar-SA"/>
        </w:rPr>
        <w:t>履约保证金：</w:t>
      </w:r>
    </w:p>
    <w:p>
      <w:pPr>
        <w:pStyle w:val="15"/>
        <w:spacing w:line="360" w:lineRule="auto"/>
        <w:ind w:right="335" w:firstLine="525" w:firstLineChars="250"/>
        <w:jc w:val="both"/>
        <w:rPr>
          <w:lang w:val="ru-RU" w:eastAsia="zh-CN"/>
        </w:rPr>
      </w:pPr>
      <w:r>
        <w:rPr>
          <w:rFonts w:hint="eastAsia" w:ascii="宋体" w:hAnsi="宋体" w:eastAsia="宋体" w:cs="Times New Roman"/>
          <w:kern w:val="2"/>
          <w:sz w:val="21"/>
          <w:szCs w:val="21"/>
          <w:lang w:eastAsia="zh-CN" w:bidi="ar-SA"/>
        </w:rPr>
        <w:t>合同签订后，</w:t>
      </w:r>
      <w:r>
        <w:rPr>
          <w:rFonts w:ascii="宋体" w:hAnsi="宋体" w:eastAsia="宋体" w:cs="Times New Roman"/>
          <w:kern w:val="2"/>
          <w:sz w:val="21"/>
          <w:szCs w:val="21"/>
          <w:lang w:eastAsia="zh-CN" w:bidi="ar-SA"/>
        </w:rPr>
        <w:t>7</w:t>
      </w:r>
      <w:r>
        <w:rPr>
          <w:rFonts w:hint="eastAsia" w:ascii="宋体" w:hAnsi="宋体" w:eastAsia="宋体" w:cs="Times New Roman"/>
          <w:kern w:val="2"/>
          <w:sz w:val="21"/>
          <w:szCs w:val="21"/>
          <w:lang w:eastAsia="zh-CN" w:bidi="ar-SA"/>
        </w:rPr>
        <w:t>个工作日内，投标人向采购人支付合同全款金额的5%作为项目履约保证金，履约期满后，凭汇款凭证及合同，采购人方将履约保证金全款（无息）退回投标人方银行账户。</w:t>
      </w:r>
    </w:p>
    <w:sectPr>
      <w:footerReference r:id="rId3" w:type="default"/>
      <w:pgSz w:w="11906" w:h="16838"/>
      <w:pgMar w:top="1440" w:right="141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430481"/>
      <w:docPartObj>
        <w:docPartGallery w:val="autotext"/>
      </w:docPartObj>
    </w:sdtPr>
    <w:sdtContent>
      <w:p>
        <w:pPr>
          <w:pStyle w:val="22"/>
          <w:jc w:val="center"/>
        </w:pPr>
      </w:p>
      <w:p>
        <w:pPr>
          <w:pStyle w:val="22"/>
          <w:jc w:val="center"/>
        </w:pPr>
        <w:r>
          <w:rPr>
            <w:rFonts w:hint="eastAsia"/>
          </w:rPr>
          <w:t>第</w:t>
        </w: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r>
          <w:rPr>
            <w:rFonts w:hint="eastAsia"/>
          </w:rPr>
          <w:t>页</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B6733"/>
    <w:multiLevelType w:val="multilevel"/>
    <w:tmpl w:val="2CEB6733"/>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0C"/>
    <w:rsid w:val="00001CDC"/>
    <w:rsid w:val="00007824"/>
    <w:rsid w:val="00010824"/>
    <w:rsid w:val="000116DB"/>
    <w:rsid w:val="000214C8"/>
    <w:rsid w:val="0002275A"/>
    <w:rsid w:val="00023B85"/>
    <w:rsid w:val="0002422C"/>
    <w:rsid w:val="00026F17"/>
    <w:rsid w:val="0003483C"/>
    <w:rsid w:val="00036026"/>
    <w:rsid w:val="00040507"/>
    <w:rsid w:val="00044E94"/>
    <w:rsid w:val="00045AF7"/>
    <w:rsid w:val="000541E2"/>
    <w:rsid w:val="000543A7"/>
    <w:rsid w:val="00055C46"/>
    <w:rsid w:val="000679D5"/>
    <w:rsid w:val="00077670"/>
    <w:rsid w:val="00083359"/>
    <w:rsid w:val="00092066"/>
    <w:rsid w:val="000922B6"/>
    <w:rsid w:val="000B3510"/>
    <w:rsid w:val="000B4788"/>
    <w:rsid w:val="000B5D15"/>
    <w:rsid w:val="000B777C"/>
    <w:rsid w:val="000E2742"/>
    <w:rsid w:val="000E4514"/>
    <w:rsid w:val="000E59E5"/>
    <w:rsid w:val="000F286D"/>
    <w:rsid w:val="000F3E64"/>
    <w:rsid w:val="000F600D"/>
    <w:rsid w:val="00101F77"/>
    <w:rsid w:val="00103BE8"/>
    <w:rsid w:val="0010434D"/>
    <w:rsid w:val="00112B4D"/>
    <w:rsid w:val="0011381B"/>
    <w:rsid w:val="001166CC"/>
    <w:rsid w:val="00124F63"/>
    <w:rsid w:val="00126020"/>
    <w:rsid w:val="001330D1"/>
    <w:rsid w:val="00134642"/>
    <w:rsid w:val="001370C8"/>
    <w:rsid w:val="0014305D"/>
    <w:rsid w:val="00157BE9"/>
    <w:rsid w:val="00157C45"/>
    <w:rsid w:val="00167D98"/>
    <w:rsid w:val="00170D9E"/>
    <w:rsid w:val="00180775"/>
    <w:rsid w:val="00180C2F"/>
    <w:rsid w:val="00181643"/>
    <w:rsid w:val="00186986"/>
    <w:rsid w:val="00187F34"/>
    <w:rsid w:val="00190EFD"/>
    <w:rsid w:val="0019476C"/>
    <w:rsid w:val="001948EF"/>
    <w:rsid w:val="00197D4D"/>
    <w:rsid w:val="001A18D2"/>
    <w:rsid w:val="001A62A5"/>
    <w:rsid w:val="001A634E"/>
    <w:rsid w:val="001A6D49"/>
    <w:rsid w:val="001B0E35"/>
    <w:rsid w:val="001C6808"/>
    <w:rsid w:val="001C7925"/>
    <w:rsid w:val="001D555B"/>
    <w:rsid w:val="001D67D8"/>
    <w:rsid w:val="001D7B24"/>
    <w:rsid w:val="001D7C8A"/>
    <w:rsid w:val="001E566B"/>
    <w:rsid w:val="001E67EA"/>
    <w:rsid w:val="001F4D66"/>
    <w:rsid w:val="001F5388"/>
    <w:rsid w:val="00206F13"/>
    <w:rsid w:val="0020774A"/>
    <w:rsid w:val="00213F34"/>
    <w:rsid w:val="002202F2"/>
    <w:rsid w:val="00230E4C"/>
    <w:rsid w:val="00236ACA"/>
    <w:rsid w:val="00236ADF"/>
    <w:rsid w:val="00250770"/>
    <w:rsid w:val="0025285A"/>
    <w:rsid w:val="00254CFE"/>
    <w:rsid w:val="00261D13"/>
    <w:rsid w:val="0026374C"/>
    <w:rsid w:val="002637C1"/>
    <w:rsid w:val="00273B7A"/>
    <w:rsid w:val="00273E23"/>
    <w:rsid w:val="00274CFA"/>
    <w:rsid w:val="0027625E"/>
    <w:rsid w:val="002768E9"/>
    <w:rsid w:val="0028635D"/>
    <w:rsid w:val="002933E8"/>
    <w:rsid w:val="002A573E"/>
    <w:rsid w:val="002A6565"/>
    <w:rsid w:val="002A7591"/>
    <w:rsid w:val="002B2681"/>
    <w:rsid w:val="002B63E5"/>
    <w:rsid w:val="002B6537"/>
    <w:rsid w:val="002B78A7"/>
    <w:rsid w:val="002C1EDD"/>
    <w:rsid w:val="002D57FE"/>
    <w:rsid w:val="002D6588"/>
    <w:rsid w:val="002D667B"/>
    <w:rsid w:val="002D6EB3"/>
    <w:rsid w:val="002E08B8"/>
    <w:rsid w:val="002E3CEF"/>
    <w:rsid w:val="00307E65"/>
    <w:rsid w:val="0031074F"/>
    <w:rsid w:val="00310823"/>
    <w:rsid w:val="00314DA6"/>
    <w:rsid w:val="00314FD1"/>
    <w:rsid w:val="00317C8C"/>
    <w:rsid w:val="00322FF1"/>
    <w:rsid w:val="00325DFC"/>
    <w:rsid w:val="003314EE"/>
    <w:rsid w:val="00341181"/>
    <w:rsid w:val="0034516B"/>
    <w:rsid w:val="00351198"/>
    <w:rsid w:val="003518EA"/>
    <w:rsid w:val="00353485"/>
    <w:rsid w:val="0037079B"/>
    <w:rsid w:val="00380429"/>
    <w:rsid w:val="00385A7B"/>
    <w:rsid w:val="00387A1F"/>
    <w:rsid w:val="003907B0"/>
    <w:rsid w:val="003927C0"/>
    <w:rsid w:val="003A324D"/>
    <w:rsid w:val="003B39D2"/>
    <w:rsid w:val="003B49E6"/>
    <w:rsid w:val="003B6B65"/>
    <w:rsid w:val="003C1CDF"/>
    <w:rsid w:val="003C5F76"/>
    <w:rsid w:val="003C6473"/>
    <w:rsid w:val="003C654C"/>
    <w:rsid w:val="003D15B2"/>
    <w:rsid w:val="003D3613"/>
    <w:rsid w:val="003D3AED"/>
    <w:rsid w:val="003E0002"/>
    <w:rsid w:val="003E0F54"/>
    <w:rsid w:val="003E229B"/>
    <w:rsid w:val="003E43B4"/>
    <w:rsid w:val="003E6A8E"/>
    <w:rsid w:val="003F509E"/>
    <w:rsid w:val="003F5DCA"/>
    <w:rsid w:val="0040308E"/>
    <w:rsid w:val="00417A53"/>
    <w:rsid w:val="00421471"/>
    <w:rsid w:val="00421998"/>
    <w:rsid w:val="00424B86"/>
    <w:rsid w:val="0043289D"/>
    <w:rsid w:val="00435042"/>
    <w:rsid w:val="0043685F"/>
    <w:rsid w:val="00452A8F"/>
    <w:rsid w:val="00456F81"/>
    <w:rsid w:val="00467223"/>
    <w:rsid w:val="0047436A"/>
    <w:rsid w:val="004751EB"/>
    <w:rsid w:val="0047659B"/>
    <w:rsid w:val="00477DB7"/>
    <w:rsid w:val="00481230"/>
    <w:rsid w:val="00481560"/>
    <w:rsid w:val="00482C32"/>
    <w:rsid w:val="00483D70"/>
    <w:rsid w:val="004856F6"/>
    <w:rsid w:val="004A460F"/>
    <w:rsid w:val="004B13E0"/>
    <w:rsid w:val="004B234C"/>
    <w:rsid w:val="004B2B00"/>
    <w:rsid w:val="004B5EAB"/>
    <w:rsid w:val="004B6A7F"/>
    <w:rsid w:val="004B7C4D"/>
    <w:rsid w:val="004C1AC7"/>
    <w:rsid w:val="004C6DDF"/>
    <w:rsid w:val="004D0157"/>
    <w:rsid w:val="004D1533"/>
    <w:rsid w:val="004D5643"/>
    <w:rsid w:val="004D5858"/>
    <w:rsid w:val="004D6109"/>
    <w:rsid w:val="004D6AB8"/>
    <w:rsid w:val="004E0FEE"/>
    <w:rsid w:val="004E1D8F"/>
    <w:rsid w:val="004E2EBC"/>
    <w:rsid w:val="004E2EF2"/>
    <w:rsid w:val="004F0ADD"/>
    <w:rsid w:val="0050102D"/>
    <w:rsid w:val="00504E25"/>
    <w:rsid w:val="0051283C"/>
    <w:rsid w:val="0051501A"/>
    <w:rsid w:val="00521488"/>
    <w:rsid w:val="00523C0D"/>
    <w:rsid w:val="00530665"/>
    <w:rsid w:val="00534302"/>
    <w:rsid w:val="0054074B"/>
    <w:rsid w:val="00543FC9"/>
    <w:rsid w:val="00551697"/>
    <w:rsid w:val="005566CA"/>
    <w:rsid w:val="00562E19"/>
    <w:rsid w:val="00564070"/>
    <w:rsid w:val="00564522"/>
    <w:rsid w:val="00564754"/>
    <w:rsid w:val="0056517E"/>
    <w:rsid w:val="005661BC"/>
    <w:rsid w:val="00572FA1"/>
    <w:rsid w:val="00581F63"/>
    <w:rsid w:val="00583D5C"/>
    <w:rsid w:val="00584DA8"/>
    <w:rsid w:val="00590BE2"/>
    <w:rsid w:val="005941CC"/>
    <w:rsid w:val="005945F2"/>
    <w:rsid w:val="005A3A27"/>
    <w:rsid w:val="005A7B4B"/>
    <w:rsid w:val="005B0DE5"/>
    <w:rsid w:val="005B164A"/>
    <w:rsid w:val="005B2B76"/>
    <w:rsid w:val="005C316D"/>
    <w:rsid w:val="005D47C1"/>
    <w:rsid w:val="005D5EE1"/>
    <w:rsid w:val="005D6F9A"/>
    <w:rsid w:val="005E7B9E"/>
    <w:rsid w:val="005F5A4B"/>
    <w:rsid w:val="005F6D64"/>
    <w:rsid w:val="00602EF5"/>
    <w:rsid w:val="0060346C"/>
    <w:rsid w:val="006052F2"/>
    <w:rsid w:val="006112EF"/>
    <w:rsid w:val="0061135B"/>
    <w:rsid w:val="0062098B"/>
    <w:rsid w:val="00621882"/>
    <w:rsid w:val="00625A5C"/>
    <w:rsid w:val="00632232"/>
    <w:rsid w:val="006435FF"/>
    <w:rsid w:val="00644CB8"/>
    <w:rsid w:val="00646F92"/>
    <w:rsid w:val="00647741"/>
    <w:rsid w:val="006521A9"/>
    <w:rsid w:val="006534FB"/>
    <w:rsid w:val="006543C3"/>
    <w:rsid w:val="00655EC9"/>
    <w:rsid w:val="00666F3A"/>
    <w:rsid w:val="00675318"/>
    <w:rsid w:val="006825BB"/>
    <w:rsid w:val="00693EB2"/>
    <w:rsid w:val="0069624E"/>
    <w:rsid w:val="006975CC"/>
    <w:rsid w:val="006A277E"/>
    <w:rsid w:val="006A72CA"/>
    <w:rsid w:val="006C0103"/>
    <w:rsid w:val="006C1F26"/>
    <w:rsid w:val="006C4D6D"/>
    <w:rsid w:val="006D1D28"/>
    <w:rsid w:val="006D2CE8"/>
    <w:rsid w:val="006D2F8F"/>
    <w:rsid w:val="006E0D6F"/>
    <w:rsid w:val="006E0DCF"/>
    <w:rsid w:val="006E3520"/>
    <w:rsid w:val="006F54C0"/>
    <w:rsid w:val="006F761E"/>
    <w:rsid w:val="00701EC2"/>
    <w:rsid w:val="007035C6"/>
    <w:rsid w:val="00711EB2"/>
    <w:rsid w:val="007133E5"/>
    <w:rsid w:val="007203DC"/>
    <w:rsid w:val="0073107B"/>
    <w:rsid w:val="00733D84"/>
    <w:rsid w:val="007373FF"/>
    <w:rsid w:val="00740578"/>
    <w:rsid w:val="00741A3B"/>
    <w:rsid w:val="007448AB"/>
    <w:rsid w:val="0074572B"/>
    <w:rsid w:val="0075420D"/>
    <w:rsid w:val="00756E9D"/>
    <w:rsid w:val="00760486"/>
    <w:rsid w:val="007710A3"/>
    <w:rsid w:val="0078064D"/>
    <w:rsid w:val="00791277"/>
    <w:rsid w:val="007938CD"/>
    <w:rsid w:val="007A05E2"/>
    <w:rsid w:val="007A407D"/>
    <w:rsid w:val="007A4987"/>
    <w:rsid w:val="007A5F7A"/>
    <w:rsid w:val="007A7827"/>
    <w:rsid w:val="007B5798"/>
    <w:rsid w:val="007C113D"/>
    <w:rsid w:val="007C7E2A"/>
    <w:rsid w:val="007D4653"/>
    <w:rsid w:val="007D4D1B"/>
    <w:rsid w:val="007E2EA3"/>
    <w:rsid w:val="007E4F75"/>
    <w:rsid w:val="007E72F0"/>
    <w:rsid w:val="007E7FAE"/>
    <w:rsid w:val="007F1604"/>
    <w:rsid w:val="007F2329"/>
    <w:rsid w:val="007F5A09"/>
    <w:rsid w:val="007F5DA2"/>
    <w:rsid w:val="007F6CF1"/>
    <w:rsid w:val="00800D35"/>
    <w:rsid w:val="008036FF"/>
    <w:rsid w:val="0080499F"/>
    <w:rsid w:val="00806710"/>
    <w:rsid w:val="00811989"/>
    <w:rsid w:val="00823EEE"/>
    <w:rsid w:val="008354AB"/>
    <w:rsid w:val="008354E1"/>
    <w:rsid w:val="00835795"/>
    <w:rsid w:val="00837851"/>
    <w:rsid w:val="00841DAB"/>
    <w:rsid w:val="00843A40"/>
    <w:rsid w:val="0084475E"/>
    <w:rsid w:val="00851EC5"/>
    <w:rsid w:val="008557A5"/>
    <w:rsid w:val="00864203"/>
    <w:rsid w:val="0086576A"/>
    <w:rsid w:val="008720D5"/>
    <w:rsid w:val="008743EA"/>
    <w:rsid w:val="0087594C"/>
    <w:rsid w:val="00882D37"/>
    <w:rsid w:val="008A15DF"/>
    <w:rsid w:val="008A6EC5"/>
    <w:rsid w:val="008B6119"/>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73FB"/>
    <w:rsid w:val="00942A7C"/>
    <w:rsid w:val="00942B5C"/>
    <w:rsid w:val="00955BB2"/>
    <w:rsid w:val="00961FA6"/>
    <w:rsid w:val="00962E6F"/>
    <w:rsid w:val="00964F0C"/>
    <w:rsid w:val="00972133"/>
    <w:rsid w:val="00975529"/>
    <w:rsid w:val="00977AF2"/>
    <w:rsid w:val="00977BD3"/>
    <w:rsid w:val="00990192"/>
    <w:rsid w:val="009935EC"/>
    <w:rsid w:val="00994808"/>
    <w:rsid w:val="009A39C5"/>
    <w:rsid w:val="009A4109"/>
    <w:rsid w:val="009A5DDE"/>
    <w:rsid w:val="009A7826"/>
    <w:rsid w:val="009B2949"/>
    <w:rsid w:val="009B6FAE"/>
    <w:rsid w:val="009D1C81"/>
    <w:rsid w:val="009D1ECD"/>
    <w:rsid w:val="009E39F2"/>
    <w:rsid w:val="009E5CC1"/>
    <w:rsid w:val="009E7B19"/>
    <w:rsid w:val="009F1E8F"/>
    <w:rsid w:val="009F37A9"/>
    <w:rsid w:val="009F6014"/>
    <w:rsid w:val="009F6F5D"/>
    <w:rsid w:val="00A02606"/>
    <w:rsid w:val="00A10F13"/>
    <w:rsid w:val="00A12C92"/>
    <w:rsid w:val="00A171D6"/>
    <w:rsid w:val="00A31603"/>
    <w:rsid w:val="00A37FE0"/>
    <w:rsid w:val="00A41DF0"/>
    <w:rsid w:val="00A4797B"/>
    <w:rsid w:val="00A52EE3"/>
    <w:rsid w:val="00A53D29"/>
    <w:rsid w:val="00A57246"/>
    <w:rsid w:val="00A655AA"/>
    <w:rsid w:val="00A67781"/>
    <w:rsid w:val="00A71497"/>
    <w:rsid w:val="00A86D7F"/>
    <w:rsid w:val="00A95800"/>
    <w:rsid w:val="00A95EBE"/>
    <w:rsid w:val="00AA15A6"/>
    <w:rsid w:val="00AA40E0"/>
    <w:rsid w:val="00AA613A"/>
    <w:rsid w:val="00AA6DB3"/>
    <w:rsid w:val="00AA73AF"/>
    <w:rsid w:val="00AB2281"/>
    <w:rsid w:val="00AB7686"/>
    <w:rsid w:val="00AD178B"/>
    <w:rsid w:val="00AD2697"/>
    <w:rsid w:val="00AD7BCB"/>
    <w:rsid w:val="00AE541D"/>
    <w:rsid w:val="00AF169D"/>
    <w:rsid w:val="00AF255E"/>
    <w:rsid w:val="00B00D0B"/>
    <w:rsid w:val="00B12A78"/>
    <w:rsid w:val="00B16214"/>
    <w:rsid w:val="00B20F24"/>
    <w:rsid w:val="00B32B1A"/>
    <w:rsid w:val="00B33F09"/>
    <w:rsid w:val="00B41A8A"/>
    <w:rsid w:val="00B55079"/>
    <w:rsid w:val="00B5569F"/>
    <w:rsid w:val="00B55930"/>
    <w:rsid w:val="00B55A26"/>
    <w:rsid w:val="00B62D4D"/>
    <w:rsid w:val="00B642EF"/>
    <w:rsid w:val="00B6478A"/>
    <w:rsid w:val="00B64EA9"/>
    <w:rsid w:val="00B67F81"/>
    <w:rsid w:val="00B744CB"/>
    <w:rsid w:val="00B805FD"/>
    <w:rsid w:val="00B8738C"/>
    <w:rsid w:val="00B877E4"/>
    <w:rsid w:val="00B91300"/>
    <w:rsid w:val="00B94ED3"/>
    <w:rsid w:val="00BA0393"/>
    <w:rsid w:val="00BA0B21"/>
    <w:rsid w:val="00BA4296"/>
    <w:rsid w:val="00BA59FD"/>
    <w:rsid w:val="00BB16A7"/>
    <w:rsid w:val="00BC23E5"/>
    <w:rsid w:val="00BC7BC4"/>
    <w:rsid w:val="00BD27B5"/>
    <w:rsid w:val="00BE4CC8"/>
    <w:rsid w:val="00BE5EDF"/>
    <w:rsid w:val="00BF46A3"/>
    <w:rsid w:val="00BF71E6"/>
    <w:rsid w:val="00BF7F87"/>
    <w:rsid w:val="00C0140C"/>
    <w:rsid w:val="00C01E8E"/>
    <w:rsid w:val="00C03378"/>
    <w:rsid w:val="00C049EB"/>
    <w:rsid w:val="00C056F6"/>
    <w:rsid w:val="00C07508"/>
    <w:rsid w:val="00C14114"/>
    <w:rsid w:val="00C17594"/>
    <w:rsid w:val="00C20ADB"/>
    <w:rsid w:val="00C22820"/>
    <w:rsid w:val="00C25BAC"/>
    <w:rsid w:val="00C25CD1"/>
    <w:rsid w:val="00C274D1"/>
    <w:rsid w:val="00C3626C"/>
    <w:rsid w:val="00C37460"/>
    <w:rsid w:val="00C4527E"/>
    <w:rsid w:val="00C63CA4"/>
    <w:rsid w:val="00C647D8"/>
    <w:rsid w:val="00C65413"/>
    <w:rsid w:val="00C725D7"/>
    <w:rsid w:val="00C765D8"/>
    <w:rsid w:val="00C807FD"/>
    <w:rsid w:val="00C86F04"/>
    <w:rsid w:val="00C876D9"/>
    <w:rsid w:val="00C87FC1"/>
    <w:rsid w:val="00C9019F"/>
    <w:rsid w:val="00C96527"/>
    <w:rsid w:val="00CA1ED6"/>
    <w:rsid w:val="00CA33AE"/>
    <w:rsid w:val="00CA484E"/>
    <w:rsid w:val="00CB5111"/>
    <w:rsid w:val="00CC1683"/>
    <w:rsid w:val="00CD2B8D"/>
    <w:rsid w:val="00CD4B78"/>
    <w:rsid w:val="00CD5A9E"/>
    <w:rsid w:val="00CD65F4"/>
    <w:rsid w:val="00CD688B"/>
    <w:rsid w:val="00CD779D"/>
    <w:rsid w:val="00CE18C1"/>
    <w:rsid w:val="00CE5133"/>
    <w:rsid w:val="00CE781B"/>
    <w:rsid w:val="00CF3780"/>
    <w:rsid w:val="00D00B52"/>
    <w:rsid w:val="00D03BFA"/>
    <w:rsid w:val="00D11C7F"/>
    <w:rsid w:val="00D205BD"/>
    <w:rsid w:val="00D22033"/>
    <w:rsid w:val="00D2394C"/>
    <w:rsid w:val="00D24E78"/>
    <w:rsid w:val="00D30956"/>
    <w:rsid w:val="00D323C2"/>
    <w:rsid w:val="00D32C3F"/>
    <w:rsid w:val="00D32D52"/>
    <w:rsid w:val="00D355F0"/>
    <w:rsid w:val="00D36694"/>
    <w:rsid w:val="00D3758C"/>
    <w:rsid w:val="00D37C20"/>
    <w:rsid w:val="00D4301A"/>
    <w:rsid w:val="00D52394"/>
    <w:rsid w:val="00D56858"/>
    <w:rsid w:val="00D56ED4"/>
    <w:rsid w:val="00D57384"/>
    <w:rsid w:val="00D60742"/>
    <w:rsid w:val="00D64FC2"/>
    <w:rsid w:val="00D65D63"/>
    <w:rsid w:val="00D71628"/>
    <w:rsid w:val="00D73B03"/>
    <w:rsid w:val="00D75614"/>
    <w:rsid w:val="00D76206"/>
    <w:rsid w:val="00D822BF"/>
    <w:rsid w:val="00D864A3"/>
    <w:rsid w:val="00D874C4"/>
    <w:rsid w:val="00D923D1"/>
    <w:rsid w:val="00D962CB"/>
    <w:rsid w:val="00DA5CDF"/>
    <w:rsid w:val="00DA75B5"/>
    <w:rsid w:val="00DB0A53"/>
    <w:rsid w:val="00DB7BE4"/>
    <w:rsid w:val="00DC5A62"/>
    <w:rsid w:val="00DC6732"/>
    <w:rsid w:val="00DD0E80"/>
    <w:rsid w:val="00DD2E13"/>
    <w:rsid w:val="00DD4A0E"/>
    <w:rsid w:val="00DD7E01"/>
    <w:rsid w:val="00DE46E4"/>
    <w:rsid w:val="00DF7384"/>
    <w:rsid w:val="00E04180"/>
    <w:rsid w:val="00E2570C"/>
    <w:rsid w:val="00E30308"/>
    <w:rsid w:val="00E30593"/>
    <w:rsid w:val="00E34801"/>
    <w:rsid w:val="00E3519C"/>
    <w:rsid w:val="00E40B87"/>
    <w:rsid w:val="00E43588"/>
    <w:rsid w:val="00E473E1"/>
    <w:rsid w:val="00E53599"/>
    <w:rsid w:val="00E54ADC"/>
    <w:rsid w:val="00E57F26"/>
    <w:rsid w:val="00E62641"/>
    <w:rsid w:val="00E6574E"/>
    <w:rsid w:val="00E71350"/>
    <w:rsid w:val="00E7362A"/>
    <w:rsid w:val="00E74BC6"/>
    <w:rsid w:val="00E867F1"/>
    <w:rsid w:val="00EA06DC"/>
    <w:rsid w:val="00EA604F"/>
    <w:rsid w:val="00EB3746"/>
    <w:rsid w:val="00EB53E1"/>
    <w:rsid w:val="00EC1ADD"/>
    <w:rsid w:val="00EC6A52"/>
    <w:rsid w:val="00ED0B87"/>
    <w:rsid w:val="00ED2D92"/>
    <w:rsid w:val="00ED7FCE"/>
    <w:rsid w:val="00EE381D"/>
    <w:rsid w:val="00EE3BB6"/>
    <w:rsid w:val="00EE4BE4"/>
    <w:rsid w:val="00EE718F"/>
    <w:rsid w:val="00EF153A"/>
    <w:rsid w:val="00EF2619"/>
    <w:rsid w:val="00EF4ABB"/>
    <w:rsid w:val="00F0017C"/>
    <w:rsid w:val="00F01EED"/>
    <w:rsid w:val="00F02ECF"/>
    <w:rsid w:val="00F12944"/>
    <w:rsid w:val="00F14B5F"/>
    <w:rsid w:val="00F21AB2"/>
    <w:rsid w:val="00F21E7D"/>
    <w:rsid w:val="00F24254"/>
    <w:rsid w:val="00F25E7E"/>
    <w:rsid w:val="00F26FA4"/>
    <w:rsid w:val="00F32C23"/>
    <w:rsid w:val="00F34221"/>
    <w:rsid w:val="00F4254B"/>
    <w:rsid w:val="00F438B9"/>
    <w:rsid w:val="00F454F8"/>
    <w:rsid w:val="00F462EC"/>
    <w:rsid w:val="00F4643D"/>
    <w:rsid w:val="00F50B2F"/>
    <w:rsid w:val="00F515FD"/>
    <w:rsid w:val="00F5329A"/>
    <w:rsid w:val="00F53A01"/>
    <w:rsid w:val="00F55E86"/>
    <w:rsid w:val="00F64E24"/>
    <w:rsid w:val="00F7421E"/>
    <w:rsid w:val="00F77122"/>
    <w:rsid w:val="00F8470D"/>
    <w:rsid w:val="00F85889"/>
    <w:rsid w:val="00F902ED"/>
    <w:rsid w:val="00F9032F"/>
    <w:rsid w:val="00F911ED"/>
    <w:rsid w:val="00F920B4"/>
    <w:rsid w:val="00F9380A"/>
    <w:rsid w:val="00F96E1A"/>
    <w:rsid w:val="00FA0296"/>
    <w:rsid w:val="00FA4BFC"/>
    <w:rsid w:val="00FA53B6"/>
    <w:rsid w:val="00FA7207"/>
    <w:rsid w:val="00FA7ABB"/>
    <w:rsid w:val="00FB01A0"/>
    <w:rsid w:val="00FC389A"/>
    <w:rsid w:val="00FC3D32"/>
    <w:rsid w:val="00FC6462"/>
    <w:rsid w:val="00FC662D"/>
    <w:rsid w:val="00FC6CBF"/>
    <w:rsid w:val="00FD4377"/>
    <w:rsid w:val="00FE0ACA"/>
    <w:rsid w:val="00FE38F2"/>
    <w:rsid w:val="00FF61E8"/>
    <w:rsid w:val="68DF57C5"/>
    <w:rsid w:val="74874E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paragraph" w:styleId="2">
    <w:name w:val="heading 1"/>
    <w:basedOn w:val="1"/>
    <w:next w:val="1"/>
    <w:link w:val="42"/>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3"/>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44"/>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45"/>
    <w:unhideWhenUsed/>
    <w:qFormat/>
    <w:uiPriority w:val="9"/>
    <w:pPr>
      <w:keepNext/>
      <w:spacing w:before="240" w:after="60"/>
      <w:outlineLvl w:val="3"/>
    </w:pPr>
    <w:rPr>
      <w:rFonts w:cstheme="majorBidi"/>
      <w:b/>
      <w:bCs/>
      <w:sz w:val="28"/>
      <w:szCs w:val="28"/>
    </w:rPr>
  </w:style>
  <w:style w:type="paragraph" w:styleId="6">
    <w:name w:val="heading 5"/>
    <w:basedOn w:val="1"/>
    <w:next w:val="1"/>
    <w:link w:val="46"/>
    <w:semiHidden/>
    <w:unhideWhenUsed/>
    <w:qFormat/>
    <w:uiPriority w:val="9"/>
    <w:pPr>
      <w:spacing w:before="240" w:after="60"/>
      <w:outlineLvl w:val="4"/>
    </w:pPr>
    <w:rPr>
      <w:b/>
      <w:bCs/>
      <w:i/>
      <w:iCs/>
      <w:sz w:val="26"/>
      <w:szCs w:val="26"/>
    </w:rPr>
  </w:style>
  <w:style w:type="paragraph" w:styleId="7">
    <w:name w:val="heading 6"/>
    <w:basedOn w:val="1"/>
    <w:next w:val="1"/>
    <w:link w:val="47"/>
    <w:semiHidden/>
    <w:unhideWhenUsed/>
    <w:qFormat/>
    <w:uiPriority w:val="9"/>
    <w:pPr>
      <w:spacing w:before="240" w:after="60"/>
      <w:outlineLvl w:val="5"/>
    </w:pPr>
    <w:rPr>
      <w:rFonts w:cstheme="majorBidi"/>
      <w:b/>
      <w:bCs/>
      <w:sz w:val="22"/>
      <w:szCs w:val="22"/>
    </w:rPr>
  </w:style>
  <w:style w:type="paragraph" w:styleId="8">
    <w:name w:val="heading 7"/>
    <w:basedOn w:val="1"/>
    <w:next w:val="1"/>
    <w:link w:val="48"/>
    <w:semiHidden/>
    <w:unhideWhenUsed/>
    <w:qFormat/>
    <w:uiPriority w:val="9"/>
    <w:pPr>
      <w:spacing w:before="240" w:after="60"/>
      <w:outlineLvl w:val="6"/>
    </w:pPr>
  </w:style>
  <w:style w:type="paragraph" w:styleId="9">
    <w:name w:val="heading 8"/>
    <w:basedOn w:val="1"/>
    <w:next w:val="1"/>
    <w:link w:val="49"/>
    <w:semiHidden/>
    <w:unhideWhenUsed/>
    <w:qFormat/>
    <w:uiPriority w:val="9"/>
    <w:pPr>
      <w:spacing w:before="240" w:after="60"/>
      <w:outlineLvl w:val="7"/>
    </w:pPr>
    <w:rPr>
      <w:rFonts w:cstheme="majorBidi"/>
      <w:i/>
      <w:iCs/>
    </w:rPr>
  </w:style>
  <w:style w:type="paragraph" w:styleId="10">
    <w:name w:val="heading 9"/>
    <w:basedOn w:val="1"/>
    <w:next w:val="1"/>
    <w:link w:val="50"/>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ind w:left="2520" w:leftChars="1200"/>
    </w:pPr>
  </w:style>
  <w:style w:type="paragraph" w:styleId="12">
    <w:name w:val="caption"/>
    <w:basedOn w:val="1"/>
    <w:next w:val="1"/>
    <w:link w:val="85"/>
    <w:qFormat/>
    <w:uiPriority w:val="0"/>
    <w:pPr>
      <w:widowControl w:val="0"/>
      <w:jc w:val="both"/>
    </w:pPr>
    <w:rPr>
      <w:rFonts w:ascii="Cambria" w:hAnsi="Cambria" w:eastAsia="黑体"/>
      <w:kern w:val="2"/>
      <w:sz w:val="20"/>
      <w:szCs w:val="20"/>
      <w:lang w:eastAsia="zh-CN" w:bidi="ar-SA"/>
    </w:rPr>
  </w:style>
  <w:style w:type="paragraph" w:styleId="13">
    <w:name w:val="Document Map"/>
    <w:basedOn w:val="1"/>
    <w:link w:val="63"/>
    <w:semiHidden/>
    <w:unhideWhenUsed/>
    <w:uiPriority w:val="99"/>
    <w:rPr>
      <w:rFonts w:ascii="宋体" w:eastAsia="宋体"/>
      <w:sz w:val="18"/>
      <w:szCs w:val="18"/>
    </w:rPr>
  </w:style>
  <w:style w:type="paragraph" w:styleId="14">
    <w:name w:val="annotation text"/>
    <w:basedOn w:val="1"/>
    <w:link w:val="64"/>
    <w:semiHidden/>
    <w:unhideWhenUsed/>
    <w:uiPriority w:val="99"/>
  </w:style>
  <w:style w:type="paragraph" w:styleId="15">
    <w:name w:val="Body Text"/>
    <w:basedOn w:val="1"/>
    <w:link w:val="83"/>
    <w:qFormat/>
    <w:uiPriority w:val="1"/>
    <w:pPr>
      <w:widowControl w:val="0"/>
      <w:autoSpaceDE w:val="0"/>
      <w:autoSpaceDN w:val="0"/>
    </w:pPr>
    <w:rPr>
      <w:rFonts w:ascii="仿宋" w:hAnsi="仿宋" w:eastAsia="仿宋" w:cs="仿宋"/>
    </w:rPr>
  </w:style>
  <w:style w:type="paragraph" w:styleId="16">
    <w:name w:val="toc 5"/>
    <w:basedOn w:val="1"/>
    <w:next w:val="1"/>
    <w:unhideWhenUsed/>
    <w:uiPriority w:val="39"/>
    <w:pPr>
      <w:ind w:left="1680" w:leftChars="800"/>
    </w:pPr>
  </w:style>
  <w:style w:type="paragraph" w:styleId="17">
    <w:name w:val="toc 3"/>
    <w:basedOn w:val="1"/>
    <w:next w:val="1"/>
    <w:unhideWhenUsed/>
    <w:uiPriority w:val="39"/>
    <w:pPr>
      <w:ind w:left="840" w:leftChars="400"/>
    </w:pPr>
  </w:style>
  <w:style w:type="paragraph" w:styleId="18">
    <w:name w:val="Plain Text"/>
    <w:basedOn w:val="1"/>
    <w:link w:val="55"/>
    <w:uiPriority w:val="0"/>
    <w:rPr>
      <w:rFonts w:ascii="宋体" w:hAnsi="Courier New" w:eastAsia="宋体"/>
      <w:szCs w:val="21"/>
    </w:rPr>
  </w:style>
  <w:style w:type="paragraph" w:styleId="19">
    <w:name w:val="toc 8"/>
    <w:basedOn w:val="1"/>
    <w:next w:val="1"/>
    <w:unhideWhenUsed/>
    <w:uiPriority w:val="39"/>
    <w:pPr>
      <w:ind w:left="2940" w:leftChars="1400"/>
    </w:pPr>
  </w:style>
  <w:style w:type="paragraph" w:styleId="20">
    <w:name w:val="Date"/>
    <w:basedOn w:val="1"/>
    <w:next w:val="1"/>
    <w:link w:val="84"/>
    <w:semiHidden/>
    <w:unhideWhenUsed/>
    <w:uiPriority w:val="99"/>
    <w:pPr>
      <w:ind w:left="100" w:leftChars="2500"/>
    </w:pPr>
  </w:style>
  <w:style w:type="paragraph" w:styleId="21">
    <w:name w:val="Balloon Text"/>
    <w:basedOn w:val="1"/>
    <w:link w:val="61"/>
    <w:semiHidden/>
    <w:unhideWhenUsed/>
    <w:uiPriority w:val="99"/>
    <w:rPr>
      <w:sz w:val="18"/>
      <w:szCs w:val="18"/>
    </w:rPr>
  </w:style>
  <w:style w:type="paragraph" w:styleId="22">
    <w:name w:val="footer"/>
    <w:basedOn w:val="1"/>
    <w:link w:val="41"/>
    <w:unhideWhenUsed/>
    <w:qFormat/>
    <w:uiPriority w:val="99"/>
    <w:pPr>
      <w:tabs>
        <w:tab w:val="center" w:pos="4153"/>
        <w:tab w:val="right" w:pos="8306"/>
      </w:tabs>
      <w:snapToGrid w:val="0"/>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uiPriority w:val="39"/>
  </w:style>
  <w:style w:type="paragraph" w:styleId="25">
    <w:name w:val="toc 4"/>
    <w:basedOn w:val="1"/>
    <w:next w:val="1"/>
    <w:unhideWhenUsed/>
    <w:uiPriority w:val="39"/>
    <w:pPr>
      <w:ind w:left="1260" w:leftChars="600"/>
    </w:pPr>
  </w:style>
  <w:style w:type="paragraph" w:styleId="26">
    <w:name w:val="Subtitle"/>
    <w:basedOn w:val="1"/>
    <w:next w:val="1"/>
    <w:link w:val="68"/>
    <w:qFormat/>
    <w:uiPriority w:val="11"/>
    <w:pPr>
      <w:spacing w:after="60"/>
      <w:jc w:val="center"/>
      <w:outlineLvl w:val="1"/>
    </w:pPr>
    <w:rPr>
      <w:rFonts w:asciiTheme="majorHAnsi" w:hAnsiTheme="majorHAnsi" w:eastAsiaTheme="majorEastAsia"/>
    </w:rPr>
  </w:style>
  <w:style w:type="paragraph" w:styleId="27">
    <w:name w:val="toc 6"/>
    <w:basedOn w:val="1"/>
    <w:next w:val="1"/>
    <w:unhideWhenUsed/>
    <w:uiPriority w:val="39"/>
    <w:pPr>
      <w:ind w:left="2100" w:leftChars="1000"/>
    </w:pPr>
  </w:style>
  <w:style w:type="paragraph" w:styleId="28">
    <w:name w:val="toc 2"/>
    <w:basedOn w:val="1"/>
    <w:next w:val="1"/>
    <w:unhideWhenUsed/>
    <w:uiPriority w:val="39"/>
    <w:pPr>
      <w:ind w:left="420" w:leftChars="200"/>
    </w:pPr>
  </w:style>
  <w:style w:type="paragraph" w:styleId="29">
    <w:name w:val="toc 9"/>
    <w:basedOn w:val="1"/>
    <w:next w:val="1"/>
    <w:unhideWhenUsed/>
    <w:uiPriority w:val="39"/>
    <w:pPr>
      <w:ind w:left="3360" w:leftChars="1600"/>
    </w:pPr>
  </w:style>
  <w:style w:type="paragraph" w:styleId="30">
    <w:name w:val="Title"/>
    <w:basedOn w:val="1"/>
    <w:next w:val="1"/>
    <w:link w:val="67"/>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4"/>
    <w:next w:val="14"/>
    <w:link w:val="65"/>
    <w:semiHidden/>
    <w:unhideWhenUsed/>
    <w:uiPriority w:val="99"/>
    <w:rPr>
      <w:b/>
      <w:bCs/>
    </w:rPr>
  </w:style>
  <w:style w:type="table" w:styleId="33">
    <w:name w:val="Table Grid"/>
    <w:basedOn w:val="3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34">
    <w:name w:val="Medium List 2 Accent 1"/>
    <w:basedOn w:val="32"/>
    <w:uiPriority w:val="66"/>
    <w:rPr>
      <w:rFonts w:ascii="Cambria" w:hAnsi="Cambria" w:eastAsia="宋体"/>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36">
    <w:name w:val="Strong"/>
    <w:basedOn w:val="35"/>
    <w:qFormat/>
    <w:uiPriority w:val="22"/>
    <w:rPr>
      <w:b/>
      <w:bCs/>
    </w:rPr>
  </w:style>
  <w:style w:type="character" w:styleId="37">
    <w:name w:val="Emphasis"/>
    <w:basedOn w:val="35"/>
    <w:qFormat/>
    <w:uiPriority w:val="20"/>
    <w:rPr>
      <w:rFonts w:asciiTheme="minorHAnsi" w:hAnsiTheme="minorHAnsi"/>
      <w:b/>
      <w:i/>
      <w:iCs/>
    </w:rPr>
  </w:style>
  <w:style w:type="character" w:styleId="38">
    <w:name w:val="Hyperlink"/>
    <w:basedOn w:val="35"/>
    <w:unhideWhenUsed/>
    <w:uiPriority w:val="99"/>
    <w:rPr>
      <w:color w:val="0563C1" w:themeColor="hyperlink"/>
      <w:u w:val="single"/>
    </w:rPr>
  </w:style>
  <w:style w:type="character" w:styleId="39">
    <w:name w:val="annotation reference"/>
    <w:basedOn w:val="35"/>
    <w:semiHidden/>
    <w:unhideWhenUsed/>
    <w:uiPriority w:val="99"/>
    <w:rPr>
      <w:sz w:val="21"/>
      <w:szCs w:val="21"/>
    </w:rPr>
  </w:style>
  <w:style w:type="character" w:customStyle="1" w:styleId="40">
    <w:name w:val="页眉 Char"/>
    <w:basedOn w:val="35"/>
    <w:link w:val="23"/>
    <w:qFormat/>
    <w:uiPriority w:val="99"/>
    <w:rPr>
      <w:sz w:val="18"/>
      <w:szCs w:val="18"/>
    </w:rPr>
  </w:style>
  <w:style w:type="character" w:customStyle="1" w:styleId="41">
    <w:name w:val="页脚 Char"/>
    <w:basedOn w:val="35"/>
    <w:link w:val="22"/>
    <w:qFormat/>
    <w:uiPriority w:val="99"/>
    <w:rPr>
      <w:sz w:val="18"/>
      <w:szCs w:val="18"/>
    </w:rPr>
  </w:style>
  <w:style w:type="character" w:customStyle="1" w:styleId="42">
    <w:name w:val="标题 1 Char"/>
    <w:basedOn w:val="35"/>
    <w:link w:val="2"/>
    <w:qFormat/>
    <w:uiPriority w:val="9"/>
    <w:rPr>
      <w:rFonts w:asciiTheme="majorHAnsi" w:hAnsiTheme="majorHAnsi" w:eastAsiaTheme="majorEastAsia"/>
      <w:b/>
      <w:bCs/>
      <w:kern w:val="32"/>
      <w:sz w:val="32"/>
      <w:szCs w:val="32"/>
    </w:rPr>
  </w:style>
  <w:style w:type="character" w:customStyle="1" w:styleId="43">
    <w:name w:val="标题 2 Char"/>
    <w:basedOn w:val="35"/>
    <w:link w:val="3"/>
    <w:qFormat/>
    <w:uiPriority w:val="9"/>
    <w:rPr>
      <w:rFonts w:asciiTheme="majorHAnsi" w:hAnsiTheme="majorHAnsi" w:eastAsiaTheme="majorEastAsia" w:cstheme="majorBidi"/>
      <w:b/>
      <w:bCs/>
      <w:i/>
      <w:iCs/>
      <w:sz w:val="28"/>
      <w:szCs w:val="28"/>
    </w:rPr>
  </w:style>
  <w:style w:type="character" w:customStyle="1" w:styleId="44">
    <w:name w:val="标题 3 Char"/>
    <w:basedOn w:val="35"/>
    <w:link w:val="4"/>
    <w:qFormat/>
    <w:uiPriority w:val="9"/>
    <w:rPr>
      <w:rFonts w:asciiTheme="majorHAnsi" w:hAnsiTheme="majorHAnsi" w:eastAsiaTheme="majorEastAsia"/>
      <w:b/>
      <w:bCs/>
      <w:sz w:val="26"/>
      <w:szCs w:val="26"/>
    </w:rPr>
  </w:style>
  <w:style w:type="character" w:customStyle="1" w:styleId="45">
    <w:name w:val="标题 4 Char"/>
    <w:basedOn w:val="35"/>
    <w:link w:val="5"/>
    <w:qFormat/>
    <w:uiPriority w:val="9"/>
    <w:rPr>
      <w:rFonts w:cstheme="majorBidi"/>
      <w:b/>
      <w:bCs/>
      <w:sz w:val="28"/>
      <w:szCs w:val="28"/>
    </w:rPr>
  </w:style>
  <w:style w:type="character" w:customStyle="1" w:styleId="46">
    <w:name w:val="标题 5 Char"/>
    <w:basedOn w:val="35"/>
    <w:link w:val="6"/>
    <w:semiHidden/>
    <w:qFormat/>
    <w:uiPriority w:val="9"/>
    <w:rPr>
      <w:b/>
      <w:bCs/>
      <w:i/>
      <w:iCs/>
      <w:sz w:val="26"/>
      <w:szCs w:val="26"/>
    </w:rPr>
  </w:style>
  <w:style w:type="character" w:customStyle="1" w:styleId="47">
    <w:name w:val="标题 6 Char"/>
    <w:basedOn w:val="35"/>
    <w:link w:val="7"/>
    <w:semiHidden/>
    <w:qFormat/>
    <w:uiPriority w:val="9"/>
    <w:rPr>
      <w:rFonts w:cstheme="majorBidi"/>
      <w:b/>
      <w:bCs/>
    </w:rPr>
  </w:style>
  <w:style w:type="character" w:customStyle="1" w:styleId="48">
    <w:name w:val="标题 7 Char"/>
    <w:basedOn w:val="35"/>
    <w:link w:val="8"/>
    <w:semiHidden/>
    <w:qFormat/>
    <w:uiPriority w:val="9"/>
    <w:rPr>
      <w:sz w:val="24"/>
      <w:szCs w:val="24"/>
    </w:rPr>
  </w:style>
  <w:style w:type="character" w:customStyle="1" w:styleId="49">
    <w:name w:val="标题 8 Char"/>
    <w:basedOn w:val="35"/>
    <w:link w:val="9"/>
    <w:semiHidden/>
    <w:qFormat/>
    <w:uiPriority w:val="9"/>
    <w:rPr>
      <w:rFonts w:cstheme="majorBidi"/>
      <w:i/>
      <w:iCs/>
      <w:sz w:val="24"/>
      <w:szCs w:val="24"/>
    </w:rPr>
  </w:style>
  <w:style w:type="character" w:customStyle="1" w:styleId="50">
    <w:name w:val="标题 9 Char"/>
    <w:basedOn w:val="35"/>
    <w:link w:val="10"/>
    <w:semiHidden/>
    <w:uiPriority w:val="9"/>
    <w:rPr>
      <w:rFonts w:asciiTheme="majorHAnsi" w:hAnsiTheme="majorHAnsi" w:eastAsiaTheme="majorEastAsia" w:cstheme="majorBidi"/>
    </w:rPr>
  </w:style>
  <w:style w:type="paragraph" w:customStyle="1" w:styleId="51">
    <w:name w:val="M正文"/>
    <w:basedOn w:val="1"/>
    <w:link w:val="52"/>
    <w:qFormat/>
    <w:uiPriority w:val="0"/>
    <w:pPr>
      <w:spacing w:line="360" w:lineRule="auto"/>
      <w:ind w:firstLine="480" w:firstLineChars="200"/>
    </w:pPr>
  </w:style>
  <w:style w:type="character" w:customStyle="1" w:styleId="52">
    <w:name w:val="M正文 字符"/>
    <w:basedOn w:val="35"/>
    <w:link w:val="51"/>
    <w:uiPriority w:val="0"/>
    <w:rPr>
      <w:sz w:val="24"/>
      <w:szCs w:val="24"/>
    </w:rPr>
  </w:style>
  <w:style w:type="paragraph" w:customStyle="1" w:styleId="53">
    <w:name w:val="表格"/>
    <w:basedOn w:val="1"/>
    <w:link w:val="54"/>
    <w:uiPriority w:val="0"/>
    <w:pPr>
      <w:spacing w:line="360" w:lineRule="auto"/>
    </w:pPr>
  </w:style>
  <w:style w:type="character" w:customStyle="1" w:styleId="54">
    <w:name w:val="表格 字符"/>
    <w:basedOn w:val="35"/>
    <w:link w:val="53"/>
    <w:uiPriority w:val="0"/>
  </w:style>
  <w:style w:type="character" w:customStyle="1" w:styleId="55">
    <w:name w:val="纯文本 Char"/>
    <w:basedOn w:val="35"/>
    <w:link w:val="18"/>
    <w:uiPriority w:val="0"/>
    <w:rPr>
      <w:rFonts w:ascii="宋体" w:hAnsi="Courier New" w:eastAsia="宋体" w:cs="Times New Roman"/>
      <w:szCs w:val="21"/>
    </w:rPr>
  </w:style>
  <w:style w:type="paragraph" w:customStyle="1" w:styleId="56">
    <w:name w:val="TOC 标题1"/>
    <w:basedOn w:val="2"/>
    <w:next w:val="1"/>
    <w:unhideWhenUsed/>
    <w:qFormat/>
    <w:uiPriority w:val="39"/>
    <w:pPr>
      <w:outlineLvl w:val="9"/>
    </w:pPr>
    <w:rPr>
      <w:rFonts w:cstheme="majorBidi"/>
    </w:rPr>
  </w:style>
  <w:style w:type="character" w:customStyle="1" w:styleId="57">
    <w:name w:val="未处理的提及1"/>
    <w:basedOn w:val="35"/>
    <w:semiHidden/>
    <w:unhideWhenUsed/>
    <w:uiPriority w:val="99"/>
    <w:rPr>
      <w:color w:val="808080"/>
      <w:shd w:val="clear" w:color="auto" w:fill="E6E6E6"/>
    </w:rPr>
  </w:style>
  <w:style w:type="table" w:customStyle="1" w:styleId="58">
    <w:name w:val="浅色列表 - 强调文字颜色 11"/>
    <w:basedOn w:val="32"/>
    <w:uiPriority w:val="61"/>
    <w:rPr>
      <w:rFonts w:ascii="Calibri" w:hAnsi="Calibri" w:eastAsia="宋体"/>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paragraph" w:customStyle="1" w:styleId="59">
    <w:name w:val="样式1"/>
    <w:basedOn w:val="53"/>
    <w:link w:val="60"/>
    <w:uiPriority w:val="0"/>
  </w:style>
  <w:style w:type="character" w:customStyle="1" w:styleId="60">
    <w:name w:val="样式1 字符"/>
    <w:basedOn w:val="54"/>
    <w:link w:val="59"/>
    <w:uiPriority w:val="0"/>
  </w:style>
  <w:style w:type="character" w:customStyle="1" w:styleId="61">
    <w:name w:val="批注框文本 Char"/>
    <w:basedOn w:val="35"/>
    <w:link w:val="21"/>
    <w:semiHidden/>
    <w:uiPriority w:val="99"/>
    <w:rPr>
      <w:sz w:val="18"/>
      <w:szCs w:val="18"/>
    </w:rPr>
  </w:style>
  <w:style w:type="character" w:customStyle="1" w:styleId="62">
    <w:name w:val="未处理的提及2"/>
    <w:basedOn w:val="35"/>
    <w:semiHidden/>
    <w:unhideWhenUsed/>
    <w:uiPriority w:val="99"/>
    <w:rPr>
      <w:color w:val="808080"/>
      <w:shd w:val="clear" w:color="auto" w:fill="E6E6E6"/>
    </w:rPr>
  </w:style>
  <w:style w:type="character" w:customStyle="1" w:styleId="63">
    <w:name w:val="文档结构图 Char"/>
    <w:basedOn w:val="35"/>
    <w:link w:val="13"/>
    <w:semiHidden/>
    <w:uiPriority w:val="99"/>
    <w:rPr>
      <w:rFonts w:ascii="宋体" w:eastAsia="宋体"/>
      <w:sz w:val="18"/>
      <w:szCs w:val="18"/>
    </w:rPr>
  </w:style>
  <w:style w:type="character" w:customStyle="1" w:styleId="64">
    <w:name w:val="批注文字 Char"/>
    <w:basedOn w:val="35"/>
    <w:link w:val="14"/>
    <w:semiHidden/>
    <w:uiPriority w:val="99"/>
  </w:style>
  <w:style w:type="character" w:customStyle="1" w:styleId="65">
    <w:name w:val="批注主题 Char"/>
    <w:basedOn w:val="64"/>
    <w:link w:val="31"/>
    <w:semiHidden/>
    <w:uiPriority w:val="99"/>
    <w:rPr>
      <w:b/>
      <w:bCs/>
    </w:rPr>
  </w:style>
  <w:style w:type="character" w:customStyle="1" w:styleId="66">
    <w:name w:val="未处理的提及3"/>
    <w:basedOn w:val="35"/>
    <w:semiHidden/>
    <w:unhideWhenUsed/>
    <w:uiPriority w:val="99"/>
    <w:rPr>
      <w:color w:val="605E5C"/>
      <w:shd w:val="clear" w:color="auto" w:fill="E1DFDD"/>
    </w:rPr>
  </w:style>
  <w:style w:type="character" w:customStyle="1" w:styleId="67">
    <w:name w:val="标题 Char"/>
    <w:basedOn w:val="35"/>
    <w:link w:val="30"/>
    <w:uiPriority w:val="10"/>
    <w:rPr>
      <w:rFonts w:asciiTheme="majorHAnsi" w:hAnsiTheme="majorHAnsi" w:eastAsiaTheme="majorEastAsia" w:cstheme="majorBidi"/>
      <w:b/>
      <w:bCs/>
      <w:kern w:val="28"/>
      <w:sz w:val="32"/>
      <w:szCs w:val="32"/>
    </w:rPr>
  </w:style>
  <w:style w:type="character" w:customStyle="1" w:styleId="68">
    <w:name w:val="副标题 Char"/>
    <w:basedOn w:val="35"/>
    <w:link w:val="26"/>
    <w:uiPriority w:val="11"/>
    <w:rPr>
      <w:rFonts w:asciiTheme="majorHAnsi" w:hAnsiTheme="majorHAnsi" w:eastAsiaTheme="majorEastAsia"/>
      <w:sz w:val="24"/>
      <w:szCs w:val="24"/>
    </w:rPr>
  </w:style>
  <w:style w:type="paragraph" w:styleId="69">
    <w:name w:val="No Spacing"/>
    <w:basedOn w:val="1"/>
    <w:qFormat/>
    <w:uiPriority w:val="1"/>
    <w:rPr>
      <w:szCs w:val="32"/>
    </w:rPr>
  </w:style>
  <w:style w:type="paragraph" w:styleId="70">
    <w:name w:val="List Paragraph"/>
    <w:basedOn w:val="1"/>
    <w:qFormat/>
    <w:uiPriority w:val="34"/>
    <w:pPr>
      <w:ind w:left="720"/>
      <w:contextualSpacing/>
    </w:pPr>
  </w:style>
  <w:style w:type="paragraph" w:styleId="71">
    <w:name w:val="Quote"/>
    <w:basedOn w:val="1"/>
    <w:next w:val="1"/>
    <w:link w:val="72"/>
    <w:qFormat/>
    <w:uiPriority w:val="29"/>
    <w:rPr>
      <w:i/>
    </w:rPr>
  </w:style>
  <w:style w:type="character" w:customStyle="1" w:styleId="72">
    <w:name w:val="引用 Char"/>
    <w:basedOn w:val="35"/>
    <w:link w:val="71"/>
    <w:uiPriority w:val="29"/>
    <w:rPr>
      <w:i/>
      <w:sz w:val="24"/>
      <w:szCs w:val="24"/>
    </w:rPr>
  </w:style>
  <w:style w:type="paragraph" w:styleId="73">
    <w:name w:val="Intense Quote"/>
    <w:basedOn w:val="1"/>
    <w:next w:val="1"/>
    <w:link w:val="74"/>
    <w:qFormat/>
    <w:uiPriority w:val="30"/>
    <w:pPr>
      <w:ind w:left="720" w:right="720"/>
    </w:pPr>
    <w:rPr>
      <w:b/>
      <w:i/>
      <w:szCs w:val="22"/>
    </w:rPr>
  </w:style>
  <w:style w:type="character" w:customStyle="1" w:styleId="74">
    <w:name w:val="明显引用 Char"/>
    <w:basedOn w:val="35"/>
    <w:link w:val="73"/>
    <w:uiPriority w:val="30"/>
    <w:rPr>
      <w:b/>
      <w:i/>
      <w:sz w:val="24"/>
    </w:rPr>
  </w:style>
  <w:style w:type="character" w:customStyle="1" w:styleId="75">
    <w:name w:val="不明显强调1"/>
    <w:qFormat/>
    <w:uiPriority w:val="19"/>
    <w:rPr>
      <w:i/>
      <w:color w:val="595959" w:themeColor="text1" w:themeTint="A5"/>
    </w:rPr>
  </w:style>
  <w:style w:type="character" w:customStyle="1" w:styleId="76">
    <w:name w:val="明显强调1"/>
    <w:basedOn w:val="35"/>
    <w:qFormat/>
    <w:uiPriority w:val="21"/>
    <w:rPr>
      <w:b/>
      <w:i/>
      <w:sz w:val="24"/>
      <w:szCs w:val="24"/>
      <w:u w:val="single"/>
    </w:rPr>
  </w:style>
  <w:style w:type="character" w:customStyle="1" w:styleId="77">
    <w:name w:val="不明显参考1"/>
    <w:basedOn w:val="35"/>
    <w:qFormat/>
    <w:uiPriority w:val="31"/>
    <w:rPr>
      <w:sz w:val="24"/>
      <w:szCs w:val="24"/>
      <w:u w:val="single"/>
    </w:rPr>
  </w:style>
  <w:style w:type="character" w:customStyle="1" w:styleId="78">
    <w:name w:val="明显参考1"/>
    <w:basedOn w:val="35"/>
    <w:qFormat/>
    <w:uiPriority w:val="32"/>
    <w:rPr>
      <w:b/>
      <w:sz w:val="24"/>
      <w:u w:val="single"/>
    </w:rPr>
  </w:style>
  <w:style w:type="character" w:customStyle="1" w:styleId="79">
    <w:name w:val="书籍标题1"/>
    <w:basedOn w:val="35"/>
    <w:qFormat/>
    <w:uiPriority w:val="33"/>
    <w:rPr>
      <w:rFonts w:asciiTheme="majorHAnsi" w:hAnsiTheme="majorHAnsi" w:eastAsiaTheme="majorEastAsia"/>
      <w:b/>
      <w:i/>
      <w:sz w:val="24"/>
      <w:szCs w:val="24"/>
    </w:rPr>
  </w:style>
  <w:style w:type="paragraph" w:customStyle="1" w:styleId="80">
    <w:name w:val="正文样式"/>
    <w:basedOn w:val="1"/>
    <w:link w:val="81"/>
    <w:qFormat/>
    <w:uiPriority w:val="0"/>
    <w:pPr>
      <w:widowControl w:val="0"/>
      <w:spacing w:line="360" w:lineRule="auto"/>
      <w:ind w:firstLine="480" w:firstLineChars="200"/>
    </w:pPr>
    <w:rPr>
      <w:rFonts w:ascii="Times New Roman" w:hAnsi="Times New Roman" w:eastAsia="宋体"/>
      <w:kern w:val="2"/>
      <w:lang w:eastAsia="zh-CN" w:bidi="ar-SA"/>
    </w:rPr>
  </w:style>
  <w:style w:type="character" w:customStyle="1" w:styleId="81">
    <w:name w:val="正文样式 Char"/>
    <w:link w:val="80"/>
    <w:uiPriority w:val="0"/>
    <w:rPr>
      <w:rFonts w:ascii="Times New Roman" w:hAnsi="Times New Roman" w:eastAsia="宋体"/>
      <w:kern w:val="2"/>
      <w:sz w:val="24"/>
      <w:szCs w:val="24"/>
      <w:lang w:eastAsia="zh-CN" w:bidi="ar-SA"/>
    </w:rPr>
  </w:style>
  <w:style w:type="paragraph" w:customStyle="1" w:styleId="82">
    <w:name w:val="Table Paragraph"/>
    <w:basedOn w:val="1"/>
    <w:qFormat/>
    <w:uiPriority w:val="1"/>
    <w:pPr>
      <w:widowControl w:val="0"/>
      <w:autoSpaceDE w:val="0"/>
      <w:autoSpaceDN w:val="0"/>
      <w:ind w:left="107"/>
    </w:pPr>
    <w:rPr>
      <w:rFonts w:ascii="仿宋" w:hAnsi="仿宋" w:eastAsia="仿宋" w:cs="仿宋"/>
      <w:sz w:val="22"/>
      <w:szCs w:val="22"/>
    </w:rPr>
  </w:style>
  <w:style w:type="character" w:customStyle="1" w:styleId="83">
    <w:name w:val="正文文本 Char"/>
    <w:basedOn w:val="35"/>
    <w:link w:val="15"/>
    <w:uiPriority w:val="1"/>
    <w:rPr>
      <w:rFonts w:ascii="仿宋" w:hAnsi="仿宋" w:eastAsia="仿宋" w:cs="仿宋"/>
      <w:sz w:val="24"/>
      <w:szCs w:val="24"/>
    </w:rPr>
  </w:style>
  <w:style w:type="character" w:customStyle="1" w:styleId="84">
    <w:name w:val="日期 Char"/>
    <w:basedOn w:val="35"/>
    <w:link w:val="20"/>
    <w:semiHidden/>
    <w:uiPriority w:val="99"/>
    <w:rPr>
      <w:sz w:val="24"/>
      <w:szCs w:val="24"/>
    </w:rPr>
  </w:style>
  <w:style w:type="character" w:customStyle="1" w:styleId="85">
    <w:name w:val="题注 Char"/>
    <w:link w:val="12"/>
    <w:uiPriority w:val="0"/>
    <w:rPr>
      <w:rFonts w:ascii="Cambria" w:hAnsi="Cambria" w:eastAsia="黑体"/>
      <w:kern w:val="2"/>
      <w:sz w:val="20"/>
      <w:szCs w:val="20"/>
      <w:lang w:eastAsia="zh-CN" w:bidi="ar-SA"/>
    </w:rPr>
  </w:style>
  <w:style w:type="paragraph" w:customStyle="1" w:styleId="86">
    <w:name w:val="TableNormal"/>
    <w:basedOn w:val="1"/>
    <w:qFormat/>
    <w:uiPriority w:val="0"/>
    <w:pPr>
      <w:widowControl w:val="0"/>
      <w:spacing w:before="40" w:after="40" w:line="264" w:lineRule="auto"/>
      <w:jc w:val="both"/>
    </w:pPr>
    <w:rPr>
      <w:rFonts w:ascii="Arial" w:hAnsi="Arial" w:eastAsia="宋体"/>
      <w:kern w:val="2"/>
      <w:sz w:val="21"/>
      <w:szCs w:val="20"/>
      <w:lang w:eastAsia="zh-CN" w:bidi="ar-SA"/>
    </w:rPr>
  </w:style>
  <w:style w:type="paragraph" w:customStyle="1" w:styleId="87">
    <w:name w:val="表格文字"/>
    <w:basedOn w:val="1"/>
    <w:qFormat/>
    <w:uiPriority w:val="0"/>
    <w:pPr>
      <w:widowControl w:val="0"/>
      <w:spacing w:before="25" w:after="25"/>
    </w:pPr>
    <w:rPr>
      <w:rFonts w:ascii="Times New Roman" w:hAnsi="Times New Roman" w:eastAsia="宋体" w:cs="Calibri"/>
      <w:bCs/>
      <w:spacing w:val="10"/>
      <w:szCs w:val="20"/>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65DEF-6DE4-447D-84C8-804DE9833FB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755</Words>
  <Characters>4304</Characters>
  <Lines>35</Lines>
  <Paragraphs>10</Paragraphs>
  <TotalTime>2</TotalTime>
  <ScaleCrop>false</ScaleCrop>
  <LinksUpToDate>false</LinksUpToDate>
  <CharactersWithSpaces>5049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2024-09-29T15:21:00Z</dcterms:created>
  <dc:creator>袁明勇</dc:creator>
  <cp:lastModifiedBy>gyb1</cp:lastModifiedBy>
  <cp:lastPrinted>2023-11-14T03:43:00Z</cp:lastPrinted>
  <dcterms:modified xsi:type="dcterms:W3CDTF">2024-10-17T01:24:11Z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